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4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17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4"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19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6, 2019</w:t>
      </w:r>
    </w:p>
    <w:p>
      <w:pPr>
        <w:spacing w:after="0" w:line="3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143"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40" w:type="dxa"/>
            <w:vAlign w:val="bottom"/>
          </w:tcPr>
          <w:p>
            <w:pPr>
              <w:jc w:val="center"/>
              <w:ind w:right="1150"/>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2540" w:type="dxa"/>
            <w:vAlign w:val="bottom"/>
            <w:vMerge w:val="restart"/>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001-34960</w:t>
            </w:r>
          </w:p>
        </w:tc>
        <w:tc>
          <w:tcPr>
            <w:tcW w:w="246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8"/>
              </w:rPr>
              <w:t>27-0756180</w:t>
            </w:r>
          </w:p>
        </w:tc>
        <w:tc>
          <w:tcPr>
            <w:tcW w:w="0" w:type="dxa"/>
            <w:vAlign w:val="bottom"/>
          </w:tcPr>
          <w:p>
            <w:pPr>
              <w:spacing w:after="0"/>
              <w:rPr>
                <w:sz w:val="1"/>
                <w:szCs w:val="1"/>
                <w:color w:val="auto"/>
              </w:rPr>
            </w:pPr>
          </w:p>
        </w:tc>
      </w:tr>
      <w:tr>
        <w:trPr>
          <w:trHeight w:val="216"/>
        </w:trPr>
        <w:tc>
          <w:tcPr>
            <w:tcW w:w="334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254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(I.R.S. Employer</w:t>
            </w:r>
          </w:p>
        </w:tc>
        <w:tc>
          <w:tcPr>
            <w:tcW w:w="0" w:type="dxa"/>
            <w:vAlign w:val="bottom"/>
          </w:tcPr>
          <w:p>
            <w:pPr>
              <w:spacing w:after="0"/>
              <w:rPr>
                <w:sz w:val="1"/>
                <w:szCs w:val="1"/>
                <w:color w:val="auto"/>
              </w:rPr>
            </w:pPr>
          </w:p>
        </w:tc>
      </w:tr>
      <w:tr>
        <w:trPr>
          <w:trHeight w:val="234"/>
        </w:trPr>
        <w:tc>
          <w:tcPr>
            <w:tcW w:w="334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9"/>
              </w:rPr>
              <w:t>incorporation)</w:t>
            </w:r>
          </w:p>
        </w:tc>
        <w:tc>
          <w:tcPr>
            <w:tcW w:w="25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(Commission File Number)</w:t>
            </w:r>
          </w:p>
        </w:tc>
        <w:tc>
          <w:tcPr>
            <w:tcW w:w="246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468"/>
        </w:trPr>
        <w:tc>
          <w:tcPr>
            <w:tcW w:w="5880" w:type="dxa"/>
            <w:vAlign w:val="bottom"/>
            <w:gridSpan w:val="2"/>
          </w:tcPr>
          <w:p>
            <w:pPr>
              <w:jc w:val="center"/>
              <w:ind w:right="2010"/>
              <w:spacing w:after="0"/>
              <w:rPr>
                <w:sz w:val="20"/>
                <w:szCs w:val="20"/>
                <w:color w:val="auto"/>
              </w:rPr>
            </w:pPr>
            <w:r>
              <w:rPr>
                <w:rFonts w:ascii="Times New Roman" w:cs="Times New Roman" w:eastAsia="Times New Roman" w:hAnsi="Times New Roman"/>
                <w:sz w:val="18"/>
                <w:szCs w:val="18"/>
                <w:b w:val="1"/>
                <w:bCs w:val="1"/>
                <w:color w:val="auto"/>
                <w:w w:val="99"/>
              </w:rPr>
              <w:t>300 Renaissance Center, Detroit, Michigan</w:t>
            </w:r>
          </w:p>
        </w:tc>
        <w:tc>
          <w:tcPr>
            <w:tcW w:w="24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48265-3000</w:t>
            </w:r>
          </w:p>
        </w:tc>
        <w:tc>
          <w:tcPr>
            <w:tcW w:w="0" w:type="dxa"/>
            <w:vAlign w:val="bottom"/>
          </w:tcPr>
          <w:p>
            <w:pPr>
              <w:spacing w:after="0"/>
              <w:rPr>
                <w:sz w:val="1"/>
                <w:szCs w:val="1"/>
                <w:color w:val="auto"/>
              </w:rPr>
            </w:pPr>
          </w:p>
        </w:tc>
      </w:tr>
      <w:tr>
        <w:trPr>
          <w:trHeight w:val="234"/>
        </w:trPr>
        <w:tc>
          <w:tcPr>
            <w:tcW w:w="33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54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bl>
    <w:p>
      <w:pPr>
        <w:spacing w:after="0" w:line="2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667-1500</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51"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350"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50"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50"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56"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177" w:lineRule="exact"/>
        <w:rPr>
          <w:sz w:val="24"/>
          <w:szCs w:val="24"/>
          <w:color w:val="auto"/>
        </w:rPr>
      </w:pPr>
    </w:p>
    <w:p>
      <w:pPr>
        <w:ind w:right="10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177165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37"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On February 6, 2019 General Motors Company (GM) issued a news release and supplemental materials on the subject of its 2018 fourth quarter and full year consolidated earnings. The news release and supplemental materials are attached as Exhibit 99.1 and Exhibit 99.2.</w:t>
      </w:r>
    </w:p>
    <w:p>
      <w:pPr>
        <w:spacing w:after="0" w:line="162" w:lineRule="exact"/>
        <w:rPr>
          <w:sz w:val="20"/>
          <w:szCs w:val="20"/>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Charts furnished to securities analysts in connection with GM's 2018 fourth quarter and full year consolidated earnings release are available on GM's website at www.gm.com/investors/earnings-releases.html.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 w:type="dxa"/>
            <w:vAlign w:val="bottom"/>
          </w:tcPr>
          <w:p>
            <w:pPr>
              <w:spacing w:after="0"/>
              <w:rPr>
                <w:sz w:val="17"/>
                <w:szCs w:val="17"/>
                <w:color w:val="auto"/>
              </w:rPr>
            </w:pPr>
          </w:p>
        </w:tc>
      </w:tr>
      <w:tr>
        <w:trPr>
          <w:trHeight w:val="574"/>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3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52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574"/>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99.1</w:t>
            </w:r>
          </w:p>
        </w:tc>
        <w:tc>
          <w:tcPr>
            <w:tcW w:w="3220" w:type="dxa"/>
            <w:vAlign w:val="bottom"/>
            <w:gridSpan w:val="5"/>
          </w:tcPr>
          <w:p>
            <w:pPr>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News Release Dated February 6, 2019</w:t>
              </w:r>
            </w:hyperlink>
          </w:p>
        </w:tc>
      </w:tr>
      <w:tr>
        <w:trPr>
          <w:trHeight w:val="20"/>
        </w:trPr>
        <w:tc>
          <w:tcPr>
            <w:tcW w:w="2860" w:type="dxa"/>
            <w:vAlign w:val="bottom"/>
            <w:gridSpan w:val="2"/>
          </w:tcPr>
          <w:p>
            <w:pPr>
              <w:spacing w:after="0" w:line="20" w:lineRule="exact"/>
              <w:rPr>
                <w:sz w:val="1"/>
                <w:szCs w:val="1"/>
                <w:color w:val="auto"/>
              </w:rPr>
            </w:pPr>
          </w:p>
        </w:tc>
        <w:tc>
          <w:tcPr>
            <w:tcW w:w="2760" w:type="dxa"/>
            <w:vAlign w:val="bottom"/>
            <w:gridSpan w:val="3"/>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250"/>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99.2</w:t>
            </w:r>
          </w:p>
        </w:tc>
        <w:tc>
          <w:tcPr>
            <w:tcW w:w="322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w:anchor="page8">
              <w:r>
                <w:rPr>
                  <w:rFonts w:ascii="Times New Roman" w:cs="Times New Roman" w:eastAsia="Times New Roman" w:hAnsi="Times New Roman"/>
                  <w:sz w:val="18"/>
                  <w:szCs w:val="18"/>
                  <w:color w:val="0000FF"/>
                  <w:w w:val="99"/>
                </w:rPr>
                <w:t>Financial Highlights Dated February 6, 2019</w:t>
              </w:r>
            </w:hyperlink>
          </w:p>
        </w:tc>
      </w:tr>
    </w:tbl>
    <w:p>
      <w:pPr>
        <w:sectPr>
          <w:pgSz w:w="11900" w:h="16838" w:orient="portrait"/>
          <w:cols w:equalWidth="0" w:num="1">
            <w:col w:w="11420"/>
          </w:cols>
          <w:pgMar w:left="240" w:top="576"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firstLine="16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MOTORS COMPANY (Registrant)</w:t>
            </w:r>
          </w:p>
        </w:tc>
        <w:tc>
          <w:tcPr>
            <w:tcW w:w="0" w:type="dxa"/>
            <w:vAlign w:val="bottom"/>
          </w:tcPr>
          <w:p>
            <w:pPr>
              <w:spacing w:after="0"/>
              <w:rPr>
                <w:sz w:val="1"/>
                <w:szCs w:val="1"/>
                <w:color w:val="auto"/>
              </w:rPr>
            </w:pPr>
          </w:p>
        </w:tc>
      </w:tr>
      <w:tr>
        <w:trPr>
          <w:trHeight w:val="702"/>
        </w:trPr>
        <w:tc>
          <w:tcPr>
            <w:tcW w:w="614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CHRISTOPHER T. HATTO</w:t>
            </w:r>
          </w:p>
        </w:tc>
        <w:tc>
          <w:tcPr>
            <w:tcW w:w="0" w:type="dxa"/>
            <w:vAlign w:val="bottom"/>
          </w:tcPr>
          <w:p>
            <w:pPr>
              <w:spacing w:after="0"/>
              <w:rPr>
                <w:sz w:val="1"/>
                <w:szCs w:val="1"/>
                <w:color w:val="auto"/>
              </w:rPr>
            </w:pPr>
          </w:p>
        </w:tc>
      </w:tr>
      <w:tr>
        <w:trPr>
          <w:trHeight w:val="27"/>
        </w:trPr>
        <w:tc>
          <w:tcPr>
            <w:tcW w:w="6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February 6, 2019</w:t>
            </w:r>
          </w:p>
        </w:tc>
        <w:tc>
          <w:tcPr>
            <w:tcW w:w="5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140" w:type="dxa"/>
            <w:vAlign w:val="bottom"/>
            <w:vMerge w:val="continue"/>
          </w:tcPr>
          <w:p>
            <w:pPr>
              <w:spacing w:after="0"/>
              <w:rPr>
                <w:sz w:val="18"/>
                <w:szCs w:val="18"/>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T. Hatto, Vice President, Controller and Chief Accounting</w:t>
            </w:r>
          </w:p>
        </w:tc>
        <w:tc>
          <w:tcPr>
            <w:tcW w:w="0" w:type="dxa"/>
            <w:vAlign w:val="bottom"/>
          </w:tcPr>
          <w:p>
            <w:pPr>
              <w:spacing w:after="0"/>
              <w:rPr>
                <w:sz w:val="1"/>
                <w:szCs w:val="1"/>
                <w:color w:val="auto"/>
              </w:rPr>
            </w:pPr>
          </w:p>
        </w:tc>
      </w:tr>
      <w:tr>
        <w:trPr>
          <w:trHeight w:val="234"/>
        </w:trPr>
        <w:tc>
          <w:tcPr>
            <w:tcW w:w="61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2" w:right="2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363220</wp:posOffset>
            </wp:positionV>
            <wp:extent cx="6787515" cy="8963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9451340</wp:posOffset>
            </wp:positionV>
            <wp:extent cx="678751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7515"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jc w:val="right"/>
        <w:spacing w:after="0"/>
        <w:rPr>
          <w:sz w:val="20"/>
          <w:szCs w:val="20"/>
          <w:color w:val="auto"/>
        </w:rPr>
      </w:pPr>
      <w:r>
        <w:rPr>
          <w:rFonts w:ascii="Arial" w:cs="Arial" w:eastAsia="Arial" w:hAnsi="Arial"/>
          <w:sz w:val="20"/>
          <w:szCs w:val="20"/>
          <w:b w:val="1"/>
          <w:bCs w:val="1"/>
          <w:color w:val="auto"/>
        </w:rPr>
        <w:t>Exhibit 99.2</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2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6"/>
          <w:szCs w:val="16"/>
          <w:color w:val="auto"/>
        </w:rPr>
        <w:t>Unless otherwise indicated, General Motors Company's (GM) non-GAAP measures are related to our continuing operations and not our discontinued operations. GM's non-GAAP measures include: earnings before interest and taxes (EBIT)-adjusted, presented net of noncontrolling interests; Core EBIT-adjusted; earnings per share (EPS)-diluted-adjusted; effective tax rate-adjusted (ETR-adjusted); return on invested capital-adjusted (ROIC-adjusted) and adjusted automotive free cash flow. GM's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151"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6"/>
          <w:szCs w:val="16"/>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150"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6"/>
          <w:szCs w:val="16"/>
          <w:b w:val="1"/>
          <w:bCs w:val="1"/>
          <w:i w:val="1"/>
          <w:iCs w:val="1"/>
          <w:color w:val="auto"/>
        </w:rPr>
        <w:t xml:space="preserve">EBIT-adjusted </w:t>
      </w:r>
      <w:r>
        <w:rPr>
          <w:rFonts w:ascii="Arial" w:cs="Arial" w:eastAsia="Arial" w:hAnsi="Arial"/>
          <w:sz w:val="16"/>
          <w:szCs w:val="16"/>
          <w:color w:val="auto"/>
        </w:rPr>
        <w:t>EBIT-adjusted is presented net of noncontrolling interests and is used by management and can be used by investors to review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costs arising from the ignition switch recall and related legal matters; and certain currency devaluations associated with hyperinflationary economies. For EBIT-adjusted and our other non-GAAP measures, once we have made an adjustment in the current period for an item, we will also adjust the related non-GAAP measure in any future periods in which there is an impact from the item.</w:t>
      </w:r>
    </w:p>
    <w:p>
      <w:pPr>
        <w:spacing w:after="0" w:line="163" w:lineRule="exact"/>
        <w:rPr>
          <w:sz w:val="20"/>
          <w:szCs w:val="20"/>
          <w:color w:val="auto"/>
        </w:rPr>
      </w:pPr>
    </w:p>
    <w:p>
      <w:pPr>
        <w:jc w:val="both"/>
        <w:ind w:firstLine="162"/>
        <w:spacing w:after="0" w:line="296" w:lineRule="auto"/>
        <w:rPr>
          <w:sz w:val="20"/>
          <w:szCs w:val="20"/>
          <w:color w:val="auto"/>
        </w:rPr>
      </w:pPr>
      <w:r>
        <w:rPr>
          <w:rFonts w:ascii="Arial" w:cs="Arial" w:eastAsia="Arial" w:hAnsi="Arial"/>
          <w:sz w:val="16"/>
          <w:szCs w:val="16"/>
          <w:b w:val="1"/>
          <w:bCs w:val="1"/>
          <w:i w:val="1"/>
          <w:iCs w:val="1"/>
          <w:color w:val="auto"/>
        </w:rPr>
        <w:t xml:space="preserve">Core EBIT-adjusted </w:t>
      </w:r>
      <w:r>
        <w:rPr>
          <w:rFonts w:ascii="Arial" w:cs="Arial" w:eastAsia="Arial" w:hAnsi="Arial"/>
          <w:sz w:val="16"/>
          <w:szCs w:val="16"/>
          <w:color w:val="auto"/>
        </w:rPr>
        <w:t>Core EBIT-adjusted is used by management and can be used by investors to review our core consolidated operating results. Core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EBIT-adjusted begins with EBIT-adjusted and excludes the EBIT-adjusted results of GM Cruise. Prior to the three months ended June 30, 2018 Core EBIT-adjusted excluded the EBIT-adjusted results of autonomous vehicle operations, including GM Cruise, Maven and our investment in Lyft, Inc. (Lyft). The measure was changed to align with segment reporting. All periods presented have been recast to reflect the changes.</w:t>
      </w:r>
    </w:p>
    <w:p>
      <w:pPr>
        <w:spacing w:after="0" w:line="132" w:lineRule="exact"/>
        <w:rPr>
          <w:sz w:val="20"/>
          <w:szCs w:val="20"/>
          <w:color w:val="auto"/>
        </w:rPr>
      </w:pPr>
    </w:p>
    <w:p>
      <w:pPr>
        <w:jc w:val="both"/>
        <w:ind w:firstLine="162"/>
        <w:spacing w:after="0" w:line="261" w:lineRule="auto"/>
        <w:rPr>
          <w:sz w:val="20"/>
          <w:szCs w:val="20"/>
          <w:color w:val="auto"/>
        </w:rPr>
      </w:pPr>
      <w:r>
        <w:rPr>
          <w:rFonts w:ascii="Arial" w:cs="Arial" w:eastAsia="Arial" w:hAnsi="Arial"/>
          <w:sz w:val="16"/>
          <w:szCs w:val="16"/>
          <w:b w:val="1"/>
          <w:bCs w:val="1"/>
          <w:i w:val="1"/>
          <w:iCs w:val="1"/>
          <w:color w:val="auto"/>
        </w:rPr>
        <w:t xml:space="preserve">EPS-diluted-adjusted </w:t>
      </w:r>
      <w:r>
        <w:rPr>
          <w:rFonts w:ascii="Arial" w:cs="Arial" w:eastAsia="Arial" w:hAnsi="Arial"/>
          <w:sz w:val="16"/>
          <w:szCs w:val="16"/>
          <w:color w:val="auto"/>
        </w:rPr>
        <w:t>EPS-diluted-adjusted is used by management and can be used by investors to review our consolidated diluted EPS results on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consistent basis. EPS-diluted-adjusted is calculated as net income attributable to common stockholders-diluted less income (loss) from discontinued operations on an after-tax basis, adjustments noted above for EBIT-adjusted and certain income tax adjustments divided by weighted-average common shares outstanding-diluted. Examples of income tax adjustments include the establishment or reversal of significant deferred tax asset valuation allowances.</w:t>
      </w:r>
    </w:p>
    <w:p>
      <w:pPr>
        <w:spacing w:after="0" w:line="145"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6"/>
          <w:szCs w:val="16"/>
          <w:b w:val="1"/>
          <w:bCs w:val="1"/>
          <w:i w:val="1"/>
          <w:iCs w:val="1"/>
          <w:color w:val="auto"/>
        </w:rPr>
        <w:t xml:space="preserve">ETR-adjusted </w:t>
      </w:r>
      <w:r>
        <w:rPr>
          <w:rFonts w:ascii="Arial" w:cs="Arial" w:eastAsia="Arial" w:hAnsi="Arial"/>
          <w:sz w:val="16"/>
          <w:szCs w:val="16"/>
          <w:color w:val="auto"/>
        </w:rPr>
        <w:t>ETR-adjusted is used by management and can be used by investors to review the consolidated effective tax rate for our core operations on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consistent basis. ETR-adjusted is calculated as Income tax expense less the income tax related to the adjustments noted above for EBIT-adjusted and the income tax adjustments noted above for EPS-diluted-adjusted divided by Income before income taxes less adjustments.</w:t>
      </w:r>
    </w:p>
    <w:p>
      <w:pPr>
        <w:spacing w:after="0" w:line="13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6"/>
          <w:szCs w:val="16"/>
          <w:b w:val="1"/>
          <w:bCs w:val="1"/>
          <w:i w:val="1"/>
          <w:iCs w:val="1"/>
          <w:color w:val="auto"/>
        </w:rPr>
        <w:t xml:space="preserve">ROIC-adjusted </w:t>
      </w:r>
      <w:r>
        <w:rPr>
          <w:rFonts w:ascii="Arial" w:cs="Arial" w:eastAsia="Arial" w:hAnsi="Arial"/>
          <w:sz w:val="16"/>
          <w:szCs w:val="16"/>
          <w:color w:val="auto"/>
        </w:rPr>
        <w:t>ROIC-adjusted is used by management and can be used by investors to review our investment and capital allocation decisions. We define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ROIC-adjusted as EBIT-adjusted for the trailing four quarters divided by ROIC-adjusted average net assets, which is considered to be the average equity balances adjusted for average automotive debt and interest liabilities, exclusive of capital leases; average automotive net pension and other postretirement benefits (OPEB) liabilities; and average automotive net income tax assets during the same period. Adjustments to the average equity balances exclude assets and liabilities classified as either assets held for sale or liabilities held for sale.</w:t>
      </w:r>
    </w:p>
    <w:p>
      <w:pPr>
        <w:spacing w:after="0" w:line="14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6"/>
          <w:szCs w:val="16"/>
          <w:b w:val="1"/>
          <w:bCs w:val="1"/>
          <w:i w:val="1"/>
          <w:iCs w:val="1"/>
          <w:color w:val="auto"/>
        </w:rPr>
        <w:t xml:space="preserve">Adjusted automotive free cash flow </w:t>
      </w:r>
      <w:r>
        <w:rPr>
          <w:rFonts w:ascii="Arial" w:cs="Arial" w:eastAsia="Arial" w:hAnsi="Arial"/>
          <w:sz w:val="16"/>
          <w:szCs w:val="16"/>
          <w:color w:val="auto"/>
        </w:rPr>
        <w:t>Adjusted automotive free cash flow is used by management and can be used by investors to review the liquidity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continuing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11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2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segment profit (loss) to Net income (loss) attributable to stockholders under U.S. GAAP (dollars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3"/>
                <w:szCs w:val="13"/>
                <w:b w:val="1"/>
                <w:bCs w:val="1"/>
                <w:color w:val="auto"/>
              </w:rPr>
              <w:t>Three Months Ended</w:t>
            </w: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125"/>
              <w:spacing w:after="0"/>
              <w:rPr>
                <w:sz w:val="20"/>
                <w:szCs w:val="20"/>
                <w:color w:val="auto"/>
              </w:rPr>
            </w:pPr>
            <w:r>
              <w:rPr>
                <w:rFonts w:ascii="Arial" w:cs="Arial" w:eastAsia="Arial" w:hAnsi="Arial"/>
                <w:sz w:val="13"/>
                <w:szCs w:val="13"/>
                <w:b w:val="1"/>
                <w:bCs w:val="1"/>
                <w:color w:val="auto"/>
              </w:rPr>
              <w:t>Years Ended</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5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Arial" w:cs="Arial" w:eastAsia="Arial" w:hAnsi="Arial"/>
                <w:sz w:val="13"/>
                <w:szCs w:val="13"/>
                <w:b w:val="1"/>
                <w:bCs w:val="1"/>
                <w:color w:val="auto"/>
              </w:rPr>
              <w:t>December 31, 2018</w:t>
            </w:r>
          </w:p>
        </w:tc>
        <w:tc>
          <w:tcPr>
            <w:tcW w:w="1480" w:type="dxa"/>
            <w:vAlign w:val="bottom"/>
            <w:gridSpan w:val="3"/>
          </w:tcPr>
          <w:p>
            <w:pPr>
              <w:ind w:left="120"/>
              <w:spacing w:after="0"/>
              <w:rPr>
                <w:sz w:val="20"/>
                <w:szCs w:val="20"/>
                <w:color w:val="auto"/>
              </w:rPr>
            </w:pPr>
            <w:r>
              <w:rPr>
                <w:rFonts w:ascii="Arial" w:cs="Arial" w:eastAsia="Arial" w:hAnsi="Arial"/>
                <w:sz w:val="13"/>
                <w:szCs w:val="13"/>
                <w:b w:val="1"/>
                <w:bCs w:val="1"/>
                <w:color w:val="auto"/>
              </w:rPr>
              <w:t>December 31, 2017</w:t>
            </w:r>
          </w:p>
        </w:tc>
        <w:tc>
          <w:tcPr>
            <w:tcW w:w="1460" w:type="dxa"/>
            <w:vAlign w:val="bottom"/>
            <w:gridSpan w:val="3"/>
          </w:tcPr>
          <w:p>
            <w:pPr>
              <w:ind w:left="120"/>
              <w:spacing w:after="0"/>
              <w:rPr>
                <w:sz w:val="20"/>
                <w:szCs w:val="20"/>
                <w:color w:val="auto"/>
              </w:rPr>
            </w:pPr>
            <w:r>
              <w:rPr>
                <w:rFonts w:ascii="Arial" w:cs="Arial" w:eastAsia="Arial" w:hAnsi="Arial"/>
                <w:sz w:val="13"/>
                <w:szCs w:val="13"/>
                <w:b w:val="1"/>
                <w:bCs w:val="1"/>
                <w:color w:val="auto"/>
              </w:rPr>
              <w:t>December 31, 2018</w:t>
            </w:r>
          </w:p>
        </w:tc>
        <w:tc>
          <w:tcPr>
            <w:tcW w:w="1380" w:type="dxa"/>
            <w:vAlign w:val="bottom"/>
            <w:gridSpan w:val="2"/>
          </w:tcPr>
          <w:p>
            <w:pPr>
              <w:jc w:val="right"/>
              <w:ind w:right="39"/>
              <w:spacing w:after="0"/>
              <w:rPr>
                <w:sz w:val="20"/>
                <w:szCs w:val="20"/>
                <w:color w:val="auto"/>
              </w:rPr>
            </w:pPr>
            <w:r>
              <w:rPr>
                <w:rFonts w:ascii="Arial" w:cs="Arial" w:eastAsia="Arial" w:hAnsi="Arial"/>
                <w:sz w:val="13"/>
                <w:szCs w:val="13"/>
                <w:b w:val="1"/>
                <w:bCs w:val="1"/>
                <w:color w:val="auto"/>
              </w:rPr>
              <w:t>December 31, 2017</w:t>
            </w:r>
          </w:p>
        </w:tc>
        <w:tc>
          <w:tcPr>
            <w:tcW w:w="0" w:type="dxa"/>
            <w:vAlign w:val="bottom"/>
          </w:tcPr>
          <w:p>
            <w:pPr>
              <w:spacing w:after="0"/>
              <w:rPr>
                <w:sz w:val="1"/>
                <w:szCs w:val="1"/>
                <w:color w:val="auto"/>
              </w:rPr>
            </w:pPr>
          </w:p>
        </w:tc>
      </w:tr>
      <w:tr>
        <w:trPr>
          <w:trHeight w:val="262"/>
        </w:trPr>
        <w:tc>
          <w:tcPr>
            <w:tcW w:w="5600" w:type="dxa"/>
            <w:vAlign w:val="bottom"/>
          </w:tcPr>
          <w:p>
            <w:pPr>
              <w:ind w:left="40"/>
              <w:spacing w:after="0"/>
              <w:rPr>
                <w:sz w:val="20"/>
                <w:szCs w:val="20"/>
                <w:color w:val="auto"/>
              </w:rPr>
            </w:pPr>
            <w:r>
              <w:rPr>
                <w:rFonts w:ascii="Arial" w:cs="Arial" w:eastAsia="Arial" w:hAnsi="Arial"/>
                <w:sz w:val="16"/>
                <w:szCs w:val="16"/>
                <w:color w:val="auto"/>
              </w:rPr>
              <w:t>Operating segments</w:t>
            </w:r>
          </w:p>
        </w:tc>
        <w:tc>
          <w:tcPr>
            <w:tcW w:w="1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5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GM North America (GMNA)</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3,041</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05"/>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2,875</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45"/>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10,769</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45"/>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11,889</w:t>
            </w:r>
          </w:p>
        </w:tc>
        <w:tc>
          <w:tcPr>
            <w:tcW w:w="0" w:type="dxa"/>
            <w:vAlign w:val="bottom"/>
          </w:tcPr>
          <w:p>
            <w:pPr>
              <w:spacing w:after="0"/>
              <w:rPr>
                <w:sz w:val="1"/>
                <w:szCs w:val="1"/>
                <w:color w:val="auto"/>
              </w:rPr>
            </w:pPr>
          </w:p>
        </w:tc>
      </w:tr>
      <w:tr>
        <w:trPr>
          <w:trHeight w:val="262"/>
        </w:trPr>
        <w:tc>
          <w:tcPr>
            <w:tcW w:w="5600" w:type="dxa"/>
            <w:vAlign w:val="bottom"/>
          </w:tcPr>
          <w:p>
            <w:pPr>
              <w:ind w:left="180"/>
              <w:spacing w:after="0"/>
              <w:rPr>
                <w:sz w:val="20"/>
                <w:szCs w:val="20"/>
                <w:color w:val="auto"/>
              </w:rPr>
            </w:pPr>
            <w:r>
              <w:rPr>
                <w:rFonts w:ascii="Arial" w:cs="Arial" w:eastAsia="Arial" w:hAnsi="Arial"/>
                <w:sz w:val="16"/>
                <w:szCs w:val="16"/>
                <w:color w:val="auto"/>
              </w:rPr>
              <w:t>GM International (GMI)</w:t>
            </w: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416</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1,300</w:t>
            </w:r>
          </w:p>
        </w:tc>
        <w:tc>
          <w:tcPr>
            <w:tcW w:w="0" w:type="dxa"/>
            <w:vAlign w:val="bottom"/>
          </w:tcPr>
          <w:p>
            <w:pPr>
              <w:spacing w:after="0"/>
              <w:rPr>
                <w:sz w:val="1"/>
                <w:szCs w:val="1"/>
                <w:color w:val="auto"/>
              </w:rPr>
            </w:pPr>
          </w:p>
        </w:tc>
      </w:tr>
      <w:tr>
        <w:trPr>
          <w:trHeight w:val="278"/>
        </w:trPr>
        <w:tc>
          <w:tcPr>
            <w:tcW w:w="5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GM Cruise</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w:t>
            </w: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General Motors Financial Company, Inc. (GM Financial)(a)</w:t>
            </w: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416</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301</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1,893</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1,196</w:t>
            </w:r>
          </w:p>
        </w:tc>
        <w:tc>
          <w:tcPr>
            <w:tcW w:w="0" w:type="dxa"/>
            <w:vAlign w:val="bottom"/>
          </w:tcPr>
          <w:p>
            <w:pPr>
              <w:spacing w:after="0"/>
              <w:rPr>
                <w:sz w:val="1"/>
                <w:szCs w:val="1"/>
                <w:color w:val="auto"/>
              </w:rPr>
            </w:pPr>
          </w:p>
        </w:tc>
      </w:tr>
      <w:tr>
        <w:trPr>
          <w:trHeight w:val="257"/>
        </w:trPr>
        <w:tc>
          <w:tcPr>
            <w:tcW w:w="5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operating segments</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3,215</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3,434</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12,357</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13,772</w:t>
            </w: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Corporate and eliminations(b)</w:t>
            </w: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(928)</w:t>
            </w:r>
          </w:p>
        </w:tc>
        <w:tc>
          <w:tcPr>
            <w:tcW w:w="0" w:type="dxa"/>
            <w:vAlign w:val="bottom"/>
          </w:tcPr>
          <w:p>
            <w:pPr>
              <w:spacing w:after="0"/>
              <w:rPr>
                <w:sz w:val="1"/>
                <w:szCs w:val="1"/>
                <w:color w:val="auto"/>
              </w:rPr>
            </w:pPr>
          </w:p>
        </w:tc>
      </w:tr>
      <w:tr>
        <w:trPr>
          <w:trHeight w:val="257"/>
        </w:trPr>
        <w:tc>
          <w:tcPr>
            <w:tcW w:w="5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EBIT-adjusted</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2,828</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3,085</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11,783</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12,844</w:t>
            </w:r>
          </w:p>
        </w:tc>
        <w:tc>
          <w:tcPr>
            <w:tcW w:w="0" w:type="dxa"/>
            <w:vAlign w:val="bottom"/>
          </w:tcPr>
          <w:p>
            <w:pPr>
              <w:spacing w:after="0"/>
              <w:rPr>
                <w:sz w:val="1"/>
                <w:szCs w:val="1"/>
                <w:color w:val="auto"/>
              </w:rPr>
            </w:pPr>
          </w:p>
        </w:tc>
      </w:tr>
      <w:tr>
        <w:trPr>
          <w:trHeight w:val="262"/>
        </w:trPr>
        <w:tc>
          <w:tcPr>
            <w:tcW w:w="560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5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Transformation activities(c)</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(1,327)</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(1,327)</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2"/>
        </w:trPr>
        <w:tc>
          <w:tcPr>
            <w:tcW w:w="5600" w:type="dxa"/>
            <w:vAlign w:val="bottom"/>
          </w:tcPr>
          <w:p>
            <w:pPr>
              <w:ind w:left="180"/>
              <w:spacing w:after="0"/>
              <w:rPr>
                <w:sz w:val="20"/>
                <w:szCs w:val="20"/>
                <w:color w:val="auto"/>
              </w:rPr>
            </w:pPr>
            <w:r>
              <w:rPr>
                <w:rFonts w:ascii="Arial" w:cs="Arial" w:eastAsia="Arial" w:hAnsi="Arial"/>
                <w:sz w:val="16"/>
                <w:szCs w:val="16"/>
                <w:color w:val="auto"/>
              </w:rPr>
              <w:t>GMI restructuring(d)</w:t>
            </w:r>
          </w:p>
        </w:tc>
        <w:tc>
          <w:tcPr>
            <w:tcW w:w="12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(1,138)</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(540)</w:t>
            </w:r>
          </w:p>
        </w:tc>
        <w:tc>
          <w:tcPr>
            <w:tcW w:w="0" w:type="dxa"/>
            <w:vAlign w:val="bottom"/>
          </w:tcPr>
          <w:p>
            <w:pPr>
              <w:spacing w:after="0"/>
              <w:rPr>
                <w:sz w:val="1"/>
                <w:szCs w:val="1"/>
                <w:color w:val="auto"/>
              </w:rPr>
            </w:pPr>
          </w:p>
        </w:tc>
      </w:tr>
      <w:tr>
        <w:trPr>
          <w:trHeight w:val="271"/>
        </w:trPr>
        <w:tc>
          <w:tcPr>
            <w:tcW w:w="5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Ignition switch recall and related legal matters(e)</w:t>
            </w:r>
          </w:p>
        </w:tc>
        <w:tc>
          <w:tcPr>
            <w:tcW w:w="1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49"/>
        </w:trPr>
        <w:tc>
          <w:tcPr>
            <w:tcW w:w="5600" w:type="dxa"/>
            <w:vAlign w:val="bottom"/>
          </w:tcPr>
          <w:p>
            <w:pPr>
              <w:ind w:left="40"/>
              <w:spacing w:after="0"/>
              <w:rPr>
                <w:sz w:val="20"/>
                <w:szCs w:val="20"/>
                <w:color w:val="auto"/>
              </w:rPr>
            </w:pPr>
            <w:r>
              <w:rPr>
                <w:rFonts w:ascii="Arial" w:cs="Arial" w:eastAsia="Arial" w:hAnsi="Arial"/>
                <w:sz w:val="16"/>
                <w:szCs w:val="16"/>
                <w:color w:val="auto"/>
              </w:rPr>
              <w:t>Total adjustments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(1,327)</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(2,905)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278"/>
        </w:trPr>
        <w:tc>
          <w:tcPr>
            <w:tcW w:w="5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Automotive interest income</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335</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62"/>
        </w:trPr>
        <w:tc>
          <w:tcPr>
            <w:tcW w:w="5600" w:type="dxa"/>
            <w:vAlign w:val="bottom"/>
          </w:tcPr>
          <w:p>
            <w:pPr>
              <w:ind w:left="40"/>
              <w:spacing w:after="0"/>
              <w:rPr>
                <w:sz w:val="20"/>
                <w:szCs w:val="20"/>
                <w:color w:val="auto"/>
              </w:rPr>
            </w:pPr>
            <w:r>
              <w:rPr>
                <w:rFonts w:ascii="Arial" w:cs="Arial" w:eastAsia="Arial" w:hAnsi="Arial"/>
                <w:sz w:val="16"/>
                <w:szCs w:val="16"/>
                <w:color w:val="auto"/>
              </w:rPr>
              <w:t>Automotive interest expense</w:t>
            </w: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(655)</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(575)</w:t>
            </w:r>
          </w:p>
        </w:tc>
        <w:tc>
          <w:tcPr>
            <w:tcW w:w="0" w:type="dxa"/>
            <w:vAlign w:val="bottom"/>
          </w:tcPr>
          <w:p>
            <w:pPr>
              <w:spacing w:after="0"/>
              <w:rPr>
                <w:sz w:val="1"/>
                <w:szCs w:val="1"/>
                <w:color w:val="auto"/>
              </w:rPr>
            </w:pPr>
          </w:p>
        </w:tc>
      </w:tr>
      <w:tr>
        <w:trPr>
          <w:trHeight w:val="271"/>
        </w:trPr>
        <w:tc>
          <w:tcPr>
            <w:tcW w:w="5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 benefit(f)</w:t>
            </w:r>
          </w:p>
        </w:tc>
        <w:tc>
          <w:tcPr>
            <w:tcW w:w="1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611</w:t>
            </w:r>
          </w:p>
        </w:tc>
        <w:tc>
          <w:tcPr>
            <w:tcW w:w="10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(7,896)</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(11,533)</w:t>
            </w:r>
          </w:p>
        </w:tc>
        <w:tc>
          <w:tcPr>
            <w:tcW w:w="0" w:type="dxa"/>
            <w:vAlign w:val="bottom"/>
          </w:tcPr>
          <w:p>
            <w:pPr>
              <w:spacing w:after="0"/>
              <w:rPr>
                <w:sz w:val="1"/>
                <w:szCs w:val="1"/>
                <w:color w:val="auto"/>
              </w:rPr>
            </w:pPr>
          </w:p>
        </w:tc>
      </w:tr>
      <w:tr>
        <w:trPr>
          <w:trHeight w:val="249"/>
        </w:trPr>
        <w:tc>
          <w:tcPr>
            <w:tcW w:w="5600" w:type="dxa"/>
            <w:vAlign w:val="bottom"/>
          </w:tcPr>
          <w:p>
            <w:pPr>
              <w:ind w:left="40"/>
              <w:spacing w:after="0"/>
              <w:rPr>
                <w:sz w:val="20"/>
                <w:szCs w:val="20"/>
                <w:color w:val="auto"/>
              </w:rPr>
            </w:pPr>
            <w:r>
              <w:rPr>
                <w:rFonts w:ascii="Arial" w:cs="Arial" w:eastAsia="Arial" w:hAnsi="Arial"/>
                <w:sz w:val="16"/>
                <w:szCs w:val="16"/>
                <w:color w:val="auto"/>
              </w:rPr>
              <w:t>Income (loss) from continuing operations(g)</w:t>
            </w:r>
          </w:p>
        </w:tc>
        <w:tc>
          <w:tcPr>
            <w:tcW w:w="120" w:type="dxa"/>
            <w:vAlign w:val="bottom"/>
          </w:tcPr>
          <w:p>
            <w:pPr>
              <w:spacing w:after="0"/>
              <w:rPr>
                <w:sz w:val="21"/>
                <w:szCs w:val="21"/>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2,044</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(4,874)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8,084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71"/>
        </w:trPr>
        <w:tc>
          <w:tcPr>
            <w:tcW w:w="5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from discontinued operations, net of tax(h)</w:t>
            </w:r>
          </w:p>
        </w:tc>
        <w:tc>
          <w:tcPr>
            <w:tcW w:w="1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277</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4,212</w:t>
            </w:r>
          </w:p>
        </w:tc>
        <w:tc>
          <w:tcPr>
            <w:tcW w:w="0" w:type="dxa"/>
            <w:vAlign w:val="bottom"/>
          </w:tcPr>
          <w:p>
            <w:pPr>
              <w:spacing w:after="0"/>
              <w:rPr>
                <w:sz w:val="1"/>
                <w:szCs w:val="1"/>
                <w:color w:val="auto"/>
              </w:rPr>
            </w:pPr>
          </w:p>
        </w:tc>
      </w:tr>
      <w:tr>
        <w:trPr>
          <w:trHeight w:val="241"/>
        </w:trPr>
        <w:tc>
          <w:tcPr>
            <w:tcW w:w="5600" w:type="dxa"/>
            <w:vAlign w:val="bottom"/>
          </w:tcPr>
          <w:p>
            <w:pPr>
              <w:ind w:left="40"/>
              <w:spacing w:after="0"/>
              <w:rPr>
                <w:sz w:val="20"/>
                <w:szCs w:val="20"/>
                <w:color w:val="auto"/>
              </w:rPr>
            </w:pPr>
            <w:r>
              <w:rPr>
                <w:rFonts w:ascii="Arial" w:cs="Arial" w:eastAsia="Arial" w:hAnsi="Arial"/>
                <w:sz w:val="16"/>
                <w:szCs w:val="16"/>
                <w:color w:val="auto"/>
              </w:rPr>
              <w:t>Net income (loss) attributable to stockholders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2,044</w:t>
            </w:r>
          </w:p>
        </w:tc>
        <w:tc>
          <w:tcPr>
            <w:tcW w:w="1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(5,151)</w:t>
            </w:r>
          </w:p>
        </w:tc>
        <w:tc>
          <w:tcPr>
            <w:tcW w:w="12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8,014</w:t>
            </w:r>
          </w:p>
        </w:tc>
        <w:tc>
          <w:tcPr>
            <w:tcW w:w="1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(3,864)</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GM Financial amounts represent earnings before income taxes-adjusted.</w:t>
      </w:r>
    </w:p>
    <w:p>
      <w:pPr>
        <w:spacing w:after="0" w:line="1" w:lineRule="exact"/>
        <w:rPr>
          <w:rFonts w:ascii="Arial" w:cs="Arial" w:eastAsia="Arial" w:hAnsi="Arial"/>
          <w:sz w:val="14"/>
          <w:szCs w:val="14"/>
          <w:color w:val="auto"/>
        </w:rPr>
      </w:pPr>
    </w:p>
    <w:p>
      <w:pPr>
        <w:jc w:val="both"/>
        <w:ind w:left="340" w:hanging="332"/>
        <w:spacing w:after="0" w:line="243"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GM's automotive operations' interest income and interest expense, Maven, legacy costs from the Opel and Vauxhall businesses and certain other assets in Europe (the Opel/Vauxhall Business), which are primarily pension costs, corporate expenditures and certain nonsegment specific revenues and expenses are recorded centrally in Corporate.</w:t>
      </w:r>
    </w:p>
    <w:p>
      <w:pPr>
        <w:spacing w:after="0" w:line="160" w:lineRule="exact"/>
        <w:rPr>
          <w:rFonts w:ascii="Arial" w:cs="Arial" w:eastAsia="Arial" w:hAnsi="Arial"/>
          <w:sz w:val="14"/>
          <w:szCs w:val="14"/>
          <w:color w:val="auto"/>
        </w:rPr>
      </w:pPr>
    </w:p>
    <w:p>
      <w:pPr>
        <w:ind w:left="340" w:hanging="332"/>
        <w:spacing w:after="0" w:line="241"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These adjustments were excluded because of a strategic decision to accelerate our transformation for the future to strengthen our core business, capitalize on the future of personal mobility, and drive significant cost efficiencies. The adjustments primarily consist of employee separation charges and accelerated depreciation.</w:t>
      </w:r>
    </w:p>
    <w:p>
      <w:pPr>
        <w:jc w:val="both"/>
        <w:ind w:left="340" w:hanging="332"/>
        <w:spacing w:after="0" w:line="241"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These adjustments were excluded because of a strategic decision to rationalize our core operations by exiting or significantly reducing our presence in various international markets to focus resources on opportunities expected to deliver higher returns. The adjustments primarily consist of employee separation charges, asset impairments and supplier claims in the year ended December 31, 2018, all in Korea. The adjustment in the year ended December 31, 2017 primarily consists of asset impairments and other restructuring actions in India, South Africa and Venezuela.</w:t>
      </w:r>
    </w:p>
    <w:p>
      <w:pPr>
        <w:spacing w:after="0" w:line="1" w:lineRule="exact"/>
        <w:rPr>
          <w:rFonts w:ascii="Arial" w:cs="Arial" w:eastAsia="Arial" w:hAnsi="Arial"/>
          <w:sz w:val="14"/>
          <w:szCs w:val="14"/>
          <w:color w:val="auto"/>
        </w:rPr>
      </w:pPr>
    </w:p>
    <w:p>
      <w:pPr>
        <w:ind w:left="340" w:hanging="332"/>
        <w:spacing w:after="0" w:line="241"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These adjustments were excluded because of the unique events associated with the ignition switch recall, which included various investigations, inquiries and complaints from constituents.</w:t>
      </w:r>
    </w:p>
    <w:p>
      <w:pPr>
        <w:jc w:val="both"/>
        <w:ind w:left="340" w:hanging="332"/>
        <w:spacing w:after="0" w:line="241"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Income tax (expense) benefit includes an adjustment of $1.1 billion in the year ended December 31, 2018 consisting of (1) a non-recurring tax benefit related to foreign earnings recorded in the three months ended December 31, 2018; and (2) tax effects related to U.S. tax reform legislation. The adjustment of $9.1 billion in the year ended December 31, 2017 represents the tax expense of $7.3 billion related to U.S. tax reform legislation recorded in the three months ended December 31, 2017 and the establishment of a valuation allowance against deferred tax assets of $2.3 billion that will no longer be realizable as a result of the sale of the Opel/Vauxhall Business, partially offset by tax benefits related to tax settlements.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Net of Net (income) loss attributable to noncontrolling interests.</w:t>
      </w:r>
    </w:p>
    <w:p>
      <w:pPr>
        <w:spacing w:after="0" w:line="1" w:lineRule="exact"/>
        <w:rPr>
          <w:rFonts w:ascii="Arial" w:cs="Arial" w:eastAsia="Arial" w:hAnsi="Arial"/>
          <w:sz w:val="14"/>
          <w:szCs w:val="14"/>
          <w:color w:val="auto"/>
        </w:rPr>
      </w:pPr>
    </w:p>
    <w:p>
      <w:pPr>
        <w:ind w:left="340" w:right="20" w:hanging="332"/>
        <w:spacing w:after="0" w:line="264"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Represents the results of the Opel/Vauxhall Business and our European financing subsidiaries and branches (the Fincos, and together with the Opel/Vauxhall Business, the European Business).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552"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4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EBIT-adjusted to Core EBIT-adjusted:</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3"/>
                <w:szCs w:val="13"/>
                <w:b w:val="1"/>
                <w:bCs w:val="1"/>
                <w:color w:val="auto"/>
              </w:rPr>
              <w:t>Three Months Ended</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125"/>
              <w:spacing w:after="0"/>
              <w:rPr>
                <w:sz w:val="20"/>
                <w:szCs w:val="20"/>
                <w:color w:val="auto"/>
              </w:rPr>
            </w:pPr>
            <w:r>
              <w:rPr>
                <w:rFonts w:ascii="Arial" w:cs="Arial" w:eastAsia="Arial" w:hAnsi="Arial"/>
                <w:sz w:val="13"/>
                <w:szCs w:val="13"/>
                <w:b w:val="1"/>
                <w:bCs w:val="1"/>
                <w:color w:val="auto"/>
              </w:rPr>
              <w:t>Years Ended</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spacing w:after="0"/>
              <w:rPr>
                <w:sz w:val="20"/>
                <w:szCs w:val="20"/>
                <w:color w:val="auto"/>
              </w:rPr>
            </w:pPr>
            <w:r>
              <w:rPr>
                <w:rFonts w:ascii="Arial" w:cs="Arial" w:eastAsia="Arial" w:hAnsi="Arial"/>
                <w:sz w:val="13"/>
                <w:szCs w:val="13"/>
                <w:b w:val="1"/>
                <w:bCs w:val="1"/>
                <w:color w:val="auto"/>
              </w:rPr>
              <w:t>December 31, 2018</w:t>
            </w:r>
          </w:p>
        </w:tc>
        <w:tc>
          <w:tcPr>
            <w:tcW w:w="1460" w:type="dxa"/>
            <w:vAlign w:val="bottom"/>
            <w:gridSpan w:val="3"/>
          </w:tcPr>
          <w:p>
            <w:pPr>
              <w:ind w:left="100"/>
              <w:spacing w:after="0"/>
              <w:rPr>
                <w:sz w:val="20"/>
                <w:szCs w:val="20"/>
                <w:color w:val="auto"/>
              </w:rPr>
            </w:pPr>
            <w:r>
              <w:rPr>
                <w:rFonts w:ascii="Arial" w:cs="Arial" w:eastAsia="Arial" w:hAnsi="Arial"/>
                <w:sz w:val="13"/>
                <w:szCs w:val="13"/>
                <w:b w:val="1"/>
                <w:bCs w:val="1"/>
                <w:color w:val="auto"/>
              </w:rPr>
              <w:t>December 31, 2017</w:t>
            </w:r>
          </w:p>
        </w:tc>
        <w:tc>
          <w:tcPr>
            <w:tcW w:w="1480" w:type="dxa"/>
            <w:vAlign w:val="bottom"/>
            <w:gridSpan w:val="3"/>
          </w:tcPr>
          <w:p>
            <w:pPr>
              <w:ind w:left="120"/>
              <w:spacing w:after="0"/>
              <w:rPr>
                <w:sz w:val="20"/>
                <w:szCs w:val="20"/>
                <w:color w:val="auto"/>
              </w:rPr>
            </w:pPr>
            <w:r>
              <w:rPr>
                <w:rFonts w:ascii="Arial" w:cs="Arial" w:eastAsia="Arial" w:hAnsi="Arial"/>
                <w:sz w:val="13"/>
                <w:szCs w:val="13"/>
                <w:b w:val="1"/>
                <w:bCs w:val="1"/>
                <w:color w:val="auto"/>
              </w:rPr>
              <w:t>December 31, 2018</w:t>
            </w:r>
          </w:p>
        </w:tc>
        <w:tc>
          <w:tcPr>
            <w:tcW w:w="1360" w:type="dxa"/>
            <w:vAlign w:val="bottom"/>
            <w:gridSpan w:val="2"/>
          </w:tcPr>
          <w:p>
            <w:pPr>
              <w:jc w:val="right"/>
              <w:ind w:right="39"/>
              <w:spacing w:after="0"/>
              <w:rPr>
                <w:sz w:val="20"/>
                <w:szCs w:val="20"/>
                <w:color w:val="auto"/>
              </w:rPr>
            </w:pPr>
            <w:r>
              <w:rPr>
                <w:rFonts w:ascii="Arial" w:cs="Arial" w:eastAsia="Arial" w:hAnsi="Arial"/>
                <w:sz w:val="13"/>
                <w:szCs w:val="13"/>
                <w:b w:val="1"/>
                <w:bCs w:val="1"/>
                <w:color w:val="auto"/>
              </w:rPr>
              <w:t>December 31, 2017</w:t>
            </w:r>
          </w:p>
        </w:tc>
        <w:tc>
          <w:tcPr>
            <w:tcW w:w="0" w:type="dxa"/>
            <w:vAlign w:val="bottom"/>
          </w:tcPr>
          <w:p>
            <w:pPr>
              <w:spacing w:after="0"/>
              <w:rPr>
                <w:sz w:val="1"/>
                <w:szCs w:val="1"/>
                <w:color w:val="auto"/>
              </w:rPr>
            </w:pPr>
          </w:p>
        </w:tc>
      </w:tr>
      <w:tr>
        <w:trPr>
          <w:trHeight w:val="254"/>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EBIT-adjusted(a)</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2,828</w:t>
            </w:r>
          </w:p>
        </w:tc>
        <w:tc>
          <w:tcPr>
            <w:tcW w:w="12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525"/>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3,085</w:t>
            </w:r>
          </w:p>
        </w:tc>
        <w:tc>
          <w:tcPr>
            <w:tcW w:w="10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jc w:val="right"/>
              <w:ind w:right="245"/>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11,783</w:t>
            </w:r>
          </w:p>
        </w:tc>
        <w:tc>
          <w:tcPr>
            <w:tcW w:w="12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jc w:val="right"/>
              <w:ind w:right="345"/>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12,844</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EBIT loss-adjusted – GM Cruise</w:t>
            </w: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194</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728</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613</w:t>
            </w:r>
          </w:p>
        </w:tc>
        <w:tc>
          <w:tcPr>
            <w:tcW w:w="0" w:type="dxa"/>
            <w:vAlign w:val="bottom"/>
          </w:tcPr>
          <w:p>
            <w:pPr>
              <w:spacing w:after="0"/>
              <w:rPr>
                <w:sz w:val="1"/>
                <w:szCs w:val="1"/>
                <w:color w:val="auto"/>
              </w:rPr>
            </w:pPr>
          </w:p>
        </w:tc>
      </w:tr>
      <w:tr>
        <w:trPr>
          <w:trHeight w:val="242"/>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Core EBIT-adjusted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3,022</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25"/>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3,243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12,511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45"/>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13,457</w:t>
            </w:r>
          </w:p>
        </w:tc>
        <w:tc>
          <w:tcPr>
            <w:tcW w:w="0" w:type="dxa"/>
            <w:vAlign w:val="bottom"/>
          </w:tcPr>
          <w:p>
            <w:pPr>
              <w:spacing w:after="0"/>
              <w:rPr>
                <w:sz w:val="1"/>
                <w:szCs w:val="1"/>
                <w:color w:val="auto"/>
              </w:rPr>
            </w:pPr>
          </w:p>
        </w:tc>
      </w:tr>
      <w:tr>
        <w:trPr>
          <w:trHeight w:val="20"/>
        </w:trPr>
        <w:tc>
          <w:tcPr>
            <w:tcW w:w="5620" w:type="dxa"/>
            <w:vAlign w:val="bottom"/>
            <w:vMerge w:val="restart"/>
          </w:tcPr>
          <w:p>
            <w:pPr>
              <w:jc w:val="right"/>
              <w:ind w:right="4901"/>
              <w:spacing w:after="0"/>
              <w:rPr>
                <w:sz w:val="20"/>
                <w:szCs w:val="20"/>
                <w:color w:val="auto"/>
              </w:rPr>
            </w:pPr>
            <w:r>
              <w:rPr>
                <w:rFonts w:ascii="Arial" w:cs="Arial" w:eastAsia="Arial" w:hAnsi="Arial"/>
                <w:sz w:val="14"/>
                <w:szCs w:val="14"/>
                <w:color w:val="auto"/>
                <w:w w:val="99"/>
              </w:rPr>
              <w:t>________</w:t>
            </w: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Refer to the reconciliation of segment profit (loss) to Net income (loss) attributable to stockholders under U.S. GAAP for adjustment details.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diluted earnings (loss) per common share under U.S. GAAP to EPS-diluted-adjusted (dollars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ind w:left="200"/>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ind w:left="460"/>
              <w:spacing w:after="0"/>
              <w:rPr>
                <w:sz w:val="20"/>
                <w:szCs w:val="20"/>
                <w:color w:val="auto"/>
              </w:rPr>
            </w:pPr>
            <w:r>
              <w:rPr>
                <w:rFonts w:ascii="Arial" w:cs="Arial" w:eastAsia="Arial" w:hAnsi="Arial"/>
                <w:sz w:val="13"/>
                <w:szCs w:val="13"/>
                <w:b w:val="1"/>
                <w:bCs w:val="1"/>
                <w:color w:val="auto"/>
              </w:rPr>
              <w:t>Years Ended</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37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4"/>
          </w:tcPr>
          <w:p>
            <w:pPr>
              <w:jc w:val="right"/>
              <w:ind w:right="283"/>
              <w:spacing w:after="0"/>
              <w:rPr>
                <w:sz w:val="20"/>
                <w:szCs w:val="20"/>
                <w:color w:val="auto"/>
              </w:rPr>
            </w:pPr>
            <w:r>
              <w:rPr>
                <w:rFonts w:ascii="Arial" w:cs="Arial" w:eastAsia="Arial" w:hAnsi="Arial"/>
                <w:sz w:val="13"/>
                <w:szCs w:val="13"/>
                <w:b w:val="1"/>
                <w:bCs w:val="1"/>
                <w:color w:val="auto"/>
              </w:rPr>
              <w:t>December 31, 2018</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4"/>
          </w:tcPr>
          <w:p>
            <w:pPr>
              <w:jc w:val="right"/>
              <w:ind w:right="241"/>
              <w:spacing w:after="0"/>
              <w:rPr>
                <w:sz w:val="20"/>
                <w:szCs w:val="20"/>
                <w:color w:val="auto"/>
              </w:rPr>
            </w:pPr>
            <w:r>
              <w:rPr>
                <w:rFonts w:ascii="Arial" w:cs="Arial" w:eastAsia="Arial" w:hAnsi="Arial"/>
                <w:sz w:val="13"/>
                <w:szCs w:val="13"/>
                <w:b w:val="1"/>
                <w:bCs w:val="1"/>
                <w:color w:val="auto"/>
              </w:rPr>
              <w:t>December 31, 2017</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4"/>
          </w:tcPr>
          <w:p>
            <w:pPr>
              <w:jc w:val="right"/>
              <w:ind w:right="243"/>
              <w:spacing w:after="0"/>
              <w:rPr>
                <w:sz w:val="20"/>
                <w:szCs w:val="20"/>
                <w:color w:val="auto"/>
              </w:rPr>
            </w:pPr>
            <w:r>
              <w:rPr>
                <w:rFonts w:ascii="Arial" w:cs="Arial" w:eastAsia="Arial" w:hAnsi="Arial"/>
                <w:sz w:val="13"/>
                <w:szCs w:val="13"/>
                <w:b w:val="1"/>
                <w:bCs w:val="1"/>
                <w:color w:val="auto"/>
              </w:rPr>
              <w:t>December 31, 2018</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4"/>
          </w:tcPr>
          <w:p>
            <w:pPr>
              <w:jc w:val="right"/>
              <w:ind w:right="241"/>
              <w:spacing w:after="0"/>
              <w:rPr>
                <w:sz w:val="20"/>
                <w:szCs w:val="20"/>
                <w:color w:val="auto"/>
              </w:rPr>
            </w:pPr>
            <w:r>
              <w:rPr>
                <w:rFonts w:ascii="Arial" w:cs="Arial" w:eastAsia="Arial" w:hAnsi="Arial"/>
                <w:sz w:val="13"/>
                <w:szCs w:val="13"/>
                <w:b w:val="1"/>
                <w:bCs w:val="1"/>
                <w:color w:val="auto"/>
              </w:rPr>
              <w:t>December 31, 2017</w:t>
            </w:r>
          </w:p>
        </w:tc>
        <w:tc>
          <w:tcPr>
            <w:tcW w:w="0" w:type="dxa"/>
            <w:vAlign w:val="bottom"/>
          </w:tcPr>
          <w:p>
            <w:pPr>
              <w:spacing w:after="0"/>
              <w:rPr>
                <w:sz w:val="1"/>
                <w:szCs w:val="1"/>
                <w:color w:val="auto"/>
              </w:rPr>
            </w:pPr>
          </w:p>
        </w:tc>
      </w:tr>
      <w:tr>
        <w:trPr>
          <w:trHeight w:val="264"/>
        </w:trPr>
        <w:tc>
          <w:tcPr>
            <w:tcW w:w="3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22"/>
                <w:szCs w:val="22"/>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Per Share</w:t>
            </w:r>
          </w:p>
        </w:tc>
        <w:tc>
          <w:tcPr>
            <w:tcW w:w="14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22"/>
                <w:szCs w:val="22"/>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Per Share</w:t>
            </w:r>
          </w:p>
        </w:tc>
        <w:tc>
          <w:tcPr>
            <w:tcW w:w="14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22"/>
                <w:szCs w:val="22"/>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Per Share</w:t>
            </w:r>
          </w:p>
        </w:tc>
        <w:tc>
          <w:tcPr>
            <w:tcW w:w="120" w:type="dxa"/>
            <w:vAlign w:val="bottom"/>
          </w:tcPr>
          <w:p>
            <w:pPr>
              <w:spacing w:after="0"/>
              <w:rPr>
                <w:sz w:val="22"/>
                <w:szCs w:val="22"/>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22"/>
                <w:szCs w:val="22"/>
                <w:color w:val="auto"/>
              </w:rPr>
            </w:pPr>
          </w:p>
        </w:tc>
        <w:tc>
          <w:tcPr>
            <w:tcW w:w="760" w:type="dxa"/>
            <w:vAlign w:val="bottom"/>
          </w:tcPr>
          <w:p>
            <w:pPr>
              <w:jc w:val="right"/>
              <w:ind w:right="81"/>
              <w:spacing w:after="0"/>
              <w:rPr>
                <w:sz w:val="20"/>
                <w:szCs w:val="20"/>
                <w:color w:val="auto"/>
              </w:rPr>
            </w:pPr>
            <w:r>
              <w:rPr>
                <w:rFonts w:ascii="Arial" w:cs="Arial" w:eastAsia="Arial" w:hAnsi="Arial"/>
                <w:sz w:val="13"/>
                <w:szCs w:val="13"/>
                <w:b w:val="1"/>
                <w:bCs w:val="1"/>
                <w:color w:val="auto"/>
                <w:w w:val="95"/>
              </w:rPr>
              <w:t>Per Share</w:t>
            </w:r>
          </w:p>
        </w:tc>
        <w:tc>
          <w:tcPr>
            <w:tcW w:w="0" w:type="dxa"/>
            <w:vAlign w:val="bottom"/>
          </w:tcPr>
          <w:p>
            <w:pPr>
              <w:spacing w:after="0"/>
              <w:rPr>
                <w:sz w:val="1"/>
                <w:szCs w:val="1"/>
                <w:color w:val="auto"/>
              </w:rPr>
            </w:pPr>
          </w:p>
        </w:tc>
      </w:tr>
      <w:tr>
        <w:trPr>
          <w:trHeight w:val="254"/>
        </w:trPr>
        <w:tc>
          <w:tcPr>
            <w:tcW w:w="3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earnings (loss) per common share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2,006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1.40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7,916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5.53</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62"/>
        </w:trPr>
        <w:tc>
          <w:tcPr>
            <w:tcW w:w="3780" w:type="dxa"/>
            <w:vAlign w:val="bottom"/>
          </w:tcPr>
          <w:p>
            <w:pPr>
              <w:ind w:left="40"/>
              <w:spacing w:after="0"/>
              <w:rPr>
                <w:sz w:val="20"/>
                <w:szCs w:val="20"/>
                <w:color w:val="auto"/>
              </w:rPr>
            </w:pPr>
            <w:r>
              <w:rPr>
                <w:rFonts w:ascii="Arial" w:cs="Arial" w:eastAsia="Arial" w:hAnsi="Arial"/>
                <w:sz w:val="16"/>
                <w:szCs w:val="16"/>
                <w:color w:val="auto"/>
              </w:rPr>
              <w:t>Impact of including dilutive securities(a)</w:t>
            </w: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loss per common share – discontinued</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operations</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277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0.19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0.05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4,212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35"/>
        </w:trPr>
        <w:tc>
          <w:tcPr>
            <w:tcW w:w="3780" w:type="dxa"/>
            <w:vAlign w:val="bottom"/>
          </w:tcPr>
          <w:p>
            <w:pPr>
              <w:ind w:left="40"/>
              <w:spacing w:after="0"/>
              <w:rPr>
                <w:sz w:val="20"/>
                <w:szCs w:val="20"/>
                <w:color w:val="auto"/>
              </w:rPr>
            </w:pPr>
            <w:r>
              <w:rPr>
                <w:rFonts w:ascii="Arial" w:cs="Arial" w:eastAsia="Arial" w:hAnsi="Arial"/>
                <w:sz w:val="16"/>
                <w:szCs w:val="16"/>
                <w:color w:val="auto"/>
              </w:rPr>
              <w:t>Adjustments(b)</w:t>
            </w:r>
          </w:p>
        </w:tc>
        <w:tc>
          <w:tcPr>
            <w:tcW w:w="140" w:type="dxa"/>
            <w:vAlign w:val="bottom"/>
          </w:tcPr>
          <w:p>
            <w:pPr>
              <w:spacing w:after="0"/>
              <w:rPr>
                <w:sz w:val="20"/>
                <w:szCs w:val="20"/>
                <w:color w:val="auto"/>
              </w:rPr>
            </w:pPr>
          </w:p>
        </w:tc>
        <w:tc>
          <w:tcPr>
            <w:tcW w:w="700" w:type="dxa"/>
            <w:vAlign w:val="bottom"/>
          </w:tcPr>
          <w:p>
            <w:pPr>
              <w:jc w:val="right"/>
              <w:ind w:right="43"/>
              <w:spacing w:after="0"/>
              <w:rPr>
                <w:sz w:val="20"/>
                <w:szCs w:val="20"/>
                <w:color w:val="auto"/>
              </w:rPr>
            </w:pPr>
            <w:r>
              <w:rPr>
                <w:rFonts w:ascii="Arial" w:cs="Arial" w:eastAsia="Arial" w:hAnsi="Arial"/>
                <w:sz w:val="16"/>
                <w:szCs w:val="16"/>
                <w:color w:val="auto"/>
              </w:rPr>
              <w:t>1,327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0.93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ind w:right="23"/>
              <w:spacing w:after="0"/>
              <w:rPr>
                <w:sz w:val="20"/>
                <w:szCs w:val="20"/>
                <w:color w:val="auto"/>
              </w:rPr>
            </w:pPr>
            <w:r>
              <w:rPr>
                <w:rFonts w:ascii="Arial" w:cs="Arial" w:eastAsia="Arial" w:hAnsi="Arial"/>
                <w:sz w:val="16"/>
                <w:szCs w:val="16"/>
                <w:color w:val="auto"/>
              </w:rPr>
              <w:t>2,905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23"/>
              <w:spacing w:after="0"/>
              <w:rPr>
                <w:sz w:val="20"/>
                <w:szCs w:val="20"/>
                <w:color w:val="auto"/>
              </w:rPr>
            </w:pPr>
            <w:r>
              <w:rPr>
                <w:rFonts w:ascii="Arial" w:cs="Arial" w:eastAsia="Arial" w:hAnsi="Arial"/>
                <w:sz w:val="16"/>
                <w:szCs w:val="16"/>
                <w:color w:val="auto"/>
              </w:rPr>
              <w:t>654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0.44</w:t>
            </w:r>
          </w:p>
        </w:tc>
        <w:tc>
          <w:tcPr>
            <w:tcW w:w="0" w:type="dxa"/>
            <w:vAlign w:val="bottom"/>
          </w:tcPr>
          <w:p>
            <w:pPr>
              <w:spacing w:after="0"/>
              <w:rPr>
                <w:sz w:val="1"/>
                <w:szCs w:val="1"/>
                <w:color w:val="auto"/>
              </w:rPr>
            </w:pPr>
          </w:p>
        </w:tc>
      </w:tr>
      <w:tr>
        <w:trPr>
          <w:trHeight w:val="251"/>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 effect on adjustments(c)</w:t>
            </w: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(327)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Tax adjustments(d)</w:t>
            </w: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(954)</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(0.67)</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7,271</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5.04</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(1,111)</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(0.78)</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9,099</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6.10</w:t>
            </w:r>
          </w:p>
        </w:tc>
        <w:tc>
          <w:tcPr>
            <w:tcW w:w="0" w:type="dxa"/>
            <w:vAlign w:val="bottom"/>
          </w:tcPr>
          <w:p>
            <w:pPr>
              <w:spacing w:after="0"/>
              <w:rPr>
                <w:sz w:val="1"/>
                <w:szCs w:val="1"/>
                <w:color w:val="auto"/>
              </w:rPr>
            </w:pPr>
          </w:p>
        </w:tc>
      </w:tr>
      <w:tr>
        <w:trPr>
          <w:trHeight w:val="242"/>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EPS-diluted-adjusted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2,052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2,383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9,364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6.54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9,877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4"/>
                <w:szCs w:val="14"/>
                <w:color w:val="auto"/>
              </w:rPr>
              <w:t>________</w:t>
            </w: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40" w:right="20" w:hanging="332"/>
        <w:spacing w:after="0" w:line="24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the dilutive effect of warrants and awards under stock incentive plans. Refer to the table below for the effect on weighted-average common shares outstanding – diluted-adjusted.</w:t>
      </w: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Refer to the reconciliation of segment profit (loss) to Net income (loss) attributable to stockholders under U.S. GAAP for adjustment details.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tax effect of each adjustment is determined based on the tax laws and valuation allowance status of the jurisdiction to which the adjustment relates.</w:t>
      </w:r>
    </w:p>
    <w:p>
      <w:pPr>
        <w:spacing w:after="0" w:line="1" w:lineRule="exact"/>
        <w:rPr>
          <w:rFonts w:ascii="Arial" w:cs="Arial" w:eastAsia="Arial" w:hAnsi="Arial"/>
          <w:sz w:val="14"/>
          <w:szCs w:val="14"/>
          <w:color w:val="auto"/>
        </w:rPr>
      </w:pPr>
    </w:p>
    <w:p>
      <w:pPr>
        <w:jc w:val="both"/>
        <w:ind w:left="340" w:hanging="332"/>
        <w:spacing w:after="0" w:line="247"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the year ended December 31, 2018 the adjustment consists of: (1) a non-recurring tax benefit related to foreign earnings recorded in the three months ended December 31, 2018; and (2) tax effects related to U.S. tax reform legislation. In the year ended December 31, 2017 the adjustment consisted of the tax expense of $7.3 billion related to U.S. tax reform legislation and the establishment of a valuation allowance against deferred tax assets of $2.3 billion that are no longer realizable as a result of the sale of the Opel/Vauxhall Business, partially offset by tax benefits related to tax settlements. These adjustments were excluded because impacts of tax legislation and valuation allowances are not considered part of our core operations.</w:t>
      </w:r>
    </w:p>
    <w:p>
      <w:pPr>
        <w:spacing w:after="0" w:line="148" w:lineRule="exact"/>
        <w:rPr>
          <w:sz w:val="20"/>
          <w:szCs w:val="20"/>
          <w:color w:val="auto"/>
        </w:rPr>
      </w:pPr>
    </w:p>
    <w:p>
      <w:pPr>
        <w:ind w:firstLine="162"/>
        <w:spacing w:after="0" w:line="291" w:lineRule="auto"/>
        <w:rPr>
          <w:sz w:val="20"/>
          <w:szCs w:val="20"/>
          <w:color w:val="auto"/>
        </w:rPr>
      </w:pPr>
      <w:r>
        <w:rPr>
          <w:rFonts w:ascii="Arial" w:cs="Arial" w:eastAsia="Arial" w:hAnsi="Arial"/>
          <w:sz w:val="16"/>
          <w:szCs w:val="16"/>
          <w:color w:val="auto"/>
        </w:rPr>
        <w:t>The following table reconciles weighted-average common shares outstanding – diluted under U.S. GAAP to weighted-average common shares outstanding – diluted-adjusted used in the calculation of EPS-diluted-adjusted (shares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620" w:type="dxa"/>
            <w:vAlign w:val="bottom"/>
          </w:tcPr>
          <w:p>
            <w:pPr>
              <w:spacing w:after="0"/>
              <w:rPr>
                <w:sz w:val="15"/>
                <w:szCs w:val="15"/>
                <w:color w:val="auto"/>
              </w:rPr>
            </w:pPr>
          </w:p>
        </w:tc>
        <w:tc>
          <w:tcPr>
            <w:tcW w:w="2860" w:type="dxa"/>
            <w:vAlign w:val="bottom"/>
            <w:tcBorders>
              <w:bottom w:val="single" w:sz="8" w:color="auto"/>
            </w:tcBorders>
            <w:gridSpan w:val="3"/>
          </w:tcPr>
          <w:p>
            <w:pPr>
              <w:jc w:val="right"/>
              <w:ind w:right="723"/>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tcPr>
          <w:p>
            <w:pPr>
              <w:spacing w:after="0"/>
              <w:rPr>
                <w:sz w:val="15"/>
                <w:szCs w:val="15"/>
                <w:color w:val="auto"/>
              </w:rPr>
            </w:pPr>
          </w:p>
        </w:tc>
        <w:tc>
          <w:tcPr>
            <w:tcW w:w="2800" w:type="dxa"/>
            <w:vAlign w:val="bottom"/>
            <w:tcBorders>
              <w:bottom w:val="single" w:sz="8" w:color="auto"/>
            </w:tcBorders>
            <w:gridSpan w:val="3"/>
          </w:tcPr>
          <w:p>
            <w:pPr>
              <w:jc w:val="right"/>
              <w:ind w:right="943"/>
              <w:spacing w:after="0"/>
              <w:rPr>
                <w:sz w:val="20"/>
                <w:szCs w:val="20"/>
                <w:color w:val="auto"/>
              </w:rPr>
            </w:pPr>
            <w:r>
              <w:rPr>
                <w:rFonts w:ascii="Arial" w:cs="Arial" w:eastAsia="Arial" w:hAnsi="Arial"/>
                <w:sz w:val="13"/>
                <w:szCs w:val="13"/>
                <w:b w:val="1"/>
                <w:bCs w:val="1"/>
                <w:color w:val="auto"/>
              </w:rPr>
              <w:t>Years Ended</w:t>
            </w:r>
          </w:p>
        </w:tc>
      </w:tr>
      <w:tr>
        <w:trPr>
          <w:trHeight w:val="250"/>
        </w:trPr>
        <w:tc>
          <w:tcPr>
            <w:tcW w:w="5620" w:type="dxa"/>
            <w:vAlign w:val="bottom"/>
          </w:tcPr>
          <w:p>
            <w:pPr>
              <w:spacing w:after="0"/>
              <w:rPr>
                <w:sz w:val="21"/>
                <w:szCs w:val="21"/>
                <w:color w:val="auto"/>
              </w:rPr>
            </w:pPr>
          </w:p>
        </w:tc>
        <w:tc>
          <w:tcPr>
            <w:tcW w:w="1500" w:type="dxa"/>
            <w:vAlign w:val="bottom"/>
            <w:gridSpan w:val="2"/>
          </w:tcPr>
          <w:p>
            <w:pPr>
              <w:ind w:left="120"/>
              <w:spacing w:after="0"/>
              <w:rPr>
                <w:sz w:val="20"/>
                <w:szCs w:val="20"/>
                <w:color w:val="auto"/>
              </w:rPr>
            </w:pPr>
            <w:r>
              <w:rPr>
                <w:rFonts w:ascii="Arial" w:cs="Arial" w:eastAsia="Arial" w:hAnsi="Arial"/>
                <w:sz w:val="13"/>
                <w:szCs w:val="13"/>
                <w:b w:val="1"/>
                <w:bCs w:val="1"/>
                <w:color w:val="auto"/>
              </w:rPr>
              <w:t>December 31, 2018</w:t>
            </w:r>
          </w:p>
        </w:tc>
        <w:tc>
          <w:tcPr>
            <w:tcW w:w="1500" w:type="dxa"/>
            <w:vAlign w:val="bottom"/>
            <w:gridSpan w:val="2"/>
          </w:tcPr>
          <w:p>
            <w:pPr>
              <w:ind w:left="120"/>
              <w:spacing w:after="0"/>
              <w:rPr>
                <w:sz w:val="20"/>
                <w:szCs w:val="20"/>
                <w:color w:val="auto"/>
              </w:rPr>
            </w:pPr>
            <w:r>
              <w:rPr>
                <w:rFonts w:ascii="Arial" w:cs="Arial" w:eastAsia="Arial" w:hAnsi="Arial"/>
                <w:sz w:val="13"/>
                <w:szCs w:val="13"/>
                <w:b w:val="1"/>
                <w:bCs w:val="1"/>
                <w:color w:val="auto"/>
              </w:rPr>
              <w:t>December 31, 2017</w:t>
            </w:r>
          </w:p>
        </w:tc>
        <w:tc>
          <w:tcPr>
            <w:tcW w:w="1440" w:type="dxa"/>
            <w:vAlign w:val="bottom"/>
            <w:gridSpan w:val="2"/>
          </w:tcPr>
          <w:p>
            <w:pPr>
              <w:ind w:left="100"/>
              <w:spacing w:after="0"/>
              <w:rPr>
                <w:sz w:val="20"/>
                <w:szCs w:val="20"/>
                <w:color w:val="auto"/>
              </w:rPr>
            </w:pPr>
            <w:r>
              <w:rPr>
                <w:rFonts w:ascii="Arial" w:cs="Arial" w:eastAsia="Arial" w:hAnsi="Arial"/>
                <w:sz w:val="13"/>
                <w:szCs w:val="13"/>
                <w:b w:val="1"/>
                <w:bCs w:val="1"/>
                <w:color w:val="auto"/>
              </w:rPr>
              <w:t>December 31, 2018</w:t>
            </w:r>
          </w:p>
        </w:tc>
        <w:tc>
          <w:tcPr>
            <w:tcW w:w="1360" w:type="dxa"/>
            <w:vAlign w:val="bottom"/>
          </w:tcPr>
          <w:p>
            <w:pPr>
              <w:jc w:val="right"/>
              <w:ind w:right="23"/>
              <w:spacing w:after="0"/>
              <w:rPr>
                <w:sz w:val="20"/>
                <w:szCs w:val="20"/>
                <w:color w:val="auto"/>
              </w:rPr>
            </w:pPr>
            <w:r>
              <w:rPr>
                <w:rFonts w:ascii="Arial" w:cs="Arial" w:eastAsia="Arial" w:hAnsi="Arial"/>
                <w:sz w:val="13"/>
                <w:szCs w:val="13"/>
                <w:b w:val="1"/>
                <w:bCs w:val="1"/>
                <w:color w:val="auto"/>
              </w:rPr>
              <w:t>December 31, 2017</w:t>
            </w:r>
          </w:p>
        </w:tc>
      </w:tr>
      <w:tr>
        <w:trPr>
          <w:trHeight w:val="241"/>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common shares outstanding – diluted</w:t>
            </w:r>
          </w:p>
        </w:tc>
        <w:tc>
          <w:tcPr>
            <w:tcW w:w="138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6"/>
                <w:szCs w:val="16"/>
                <w:color w:val="auto"/>
              </w:rPr>
              <w:t>1,432</w:t>
            </w:r>
          </w:p>
        </w:tc>
        <w:tc>
          <w:tcPr>
            <w:tcW w:w="120" w:type="dxa"/>
            <w:vAlign w:val="bottom"/>
            <w:tcBorders>
              <w:top w:val="single" w:sz="8" w:color="CCEEFF"/>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1,414</w:t>
            </w:r>
          </w:p>
        </w:tc>
        <w:tc>
          <w:tcPr>
            <w:tcW w:w="140" w:type="dxa"/>
            <w:vAlign w:val="bottom"/>
            <w:tcBorders>
              <w:top w:val="single" w:sz="8" w:color="CCEEFF"/>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1,431</w:t>
            </w:r>
          </w:p>
        </w:tc>
        <w:tc>
          <w:tcPr>
            <w:tcW w:w="100" w:type="dxa"/>
            <w:vAlign w:val="bottom"/>
            <w:tcBorders>
              <w:top w:val="single" w:sz="8" w:color="CCEEFF"/>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1,492</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Dilutive effect of warrants and awards under stock incentive plans</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43"/>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3"/>
              <w:spacing w:after="0"/>
              <w:rPr>
                <w:sz w:val="20"/>
                <w:szCs w:val="20"/>
                <w:color w:val="auto"/>
              </w:rPr>
            </w:pPr>
            <w:r>
              <w:rPr>
                <w:rFonts w:ascii="Arial" w:cs="Arial" w:eastAsia="Arial" w:hAnsi="Arial"/>
                <w:sz w:val="16"/>
                <w:szCs w:val="16"/>
                <w:color w:val="auto"/>
              </w:rPr>
              <w:t>—</w:t>
            </w:r>
          </w:p>
        </w:tc>
      </w:tr>
      <w:tr>
        <w:trPr>
          <w:trHeight w:val="242"/>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common shares outstanding – diluted-adjusted</w:t>
            </w:r>
          </w:p>
        </w:tc>
        <w:tc>
          <w:tcPr>
            <w:tcW w:w="138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6"/>
                <w:szCs w:val="16"/>
                <w:color w:val="auto"/>
              </w:rPr>
              <w:t>1,432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1,444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1,431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1,492</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587"/>
        </w:trPr>
        <w:tc>
          <w:tcPr>
            <w:tcW w:w="5620" w:type="dxa"/>
            <w:vAlign w:val="bottom"/>
          </w:tcPr>
          <w:p>
            <w:pPr>
              <w:spacing w:after="0"/>
              <w:rPr>
                <w:sz w:val="24"/>
                <w:szCs w:val="24"/>
                <w:color w:val="auto"/>
              </w:rPr>
            </w:pPr>
          </w:p>
        </w:tc>
        <w:tc>
          <w:tcPr>
            <w:tcW w:w="1380" w:type="dxa"/>
            <w:vAlign w:val="bottom"/>
          </w:tcPr>
          <w:p>
            <w:pPr>
              <w:jc w:val="right"/>
              <w:ind w:right="1165"/>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552"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2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our effective tax rate under U.S. GAAP to ETR-adjusted (dollars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5"/>
          </w:tcPr>
          <w:p>
            <w:pPr>
              <w:ind w:left="100"/>
              <w:spacing w:after="0"/>
              <w:rPr>
                <w:sz w:val="20"/>
                <w:szCs w:val="20"/>
                <w:color w:val="auto"/>
              </w:rPr>
            </w:pPr>
            <w:r>
              <w:rPr>
                <w:rFonts w:ascii="Arial" w:cs="Arial" w:eastAsia="Arial" w:hAnsi="Arial"/>
                <w:sz w:val="13"/>
                <w:szCs w:val="13"/>
                <w:b w:val="1"/>
                <w:bCs w:val="1"/>
                <w:color w:val="auto"/>
              </w:rPr>
              <w:t>Years Ended December 31,</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8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4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40"/>
              <w:spacing w:after="0" w:line="136" w:lineRule="exact"/>
              <w:rPr>
                <w:sz w:val="20"/>
                <w:szCs w:val="20"/>
                <w:color w:val="auto"/>
              </w:rPr>
            </w:pPr>
            <w:r>
              <w:rPr>
                <w:rFonts w:ascii="Arial" w:cs="Arial" w:eastAsia="Arial" w:hAnsi="Arial"/>
                <w:sz w:val="13"/>
                <w:szCs w:val="13"/>
                <w:b w:val="1"/>
                <w:bCs w:val="1"/>
                <w:color w:val="auto"/>
              </w:rPr>
              <w:t>Income before</w:t>
            </w:r>
          </w:p>
        </w:tc>
        <w:tc>
          <w:tcPr>
            <w:tcW w:w="120" w:type="dxa"/>
            <w:vAlign w:val="bottom"/>
          </w:tcPr>
          <w:p>
            <w:pPr>
              <w:spacing w:after="0"/>
              <w:rPr>
                <w:sz w:val="11"/>
                <w:szCs w:val="11"/>
                <w:color w:val="auto"/>
              </w:rPr>
            </w:pPr>
          </w:p>
        </w:tc>
        <w:tc>
          <w:tcPr>
            <w:tcW w:w="780" w:type="dxa"/>
            <w:vAlign w:val="bottom"/>
          </w:tcPr>
          <w:p>
            <w:pPr>
              <w:spacing w:after="0" w:line="136" w:lineRule="exact"/>
              <w:rPr>
                <w:sz w:val="20"/>
                <w:szCs w:val="20"/>
                <w:color w:val="auto"/>
              </w:rPr>
            </w:pPr>
            <w:r>
              <w:rPr>
                <w:rFonts w:ascii="Arial" w:cs="Arial" w:eastAsia="Arial" w:hAnsi="Arial"/>
                <w:sz w:val="13"/>
                <w:szCs w:val="13"/>
                <w:b w:val="1"/>
                <w:bCs w:val="1"/>
                <w:color w:val="auto"/>
              </w:rPr>
              <w:t>Income tax</w:t>
            </w:r>
          </w:p>
        </w:tc>
        <w:tc>
          <w:tcPr>
            <w:tcW w:w="120" w:type="dxa"/>
            <w:vAlign w:val="bottom"/>
          </w:tcPr>
          <w:p>
            <w:pPr>
              <w:spacing w:after="0"/>
              <w:rPr>
                <w:sz w:val="11"/>
                <w:szCs w:val="11"/>
                <w:color w:val="auto"/>
              </w:rPr>
            </w:pPr>
          </w:p>
        </w:tc>
        <w:tc>
          <w:tcPr>
            <w:tcW w:w="960" w:type="dxa"/>
            <w:vAlign w:val="bottom"/>
            <w:gridSpan w:val="2"/>
          </w:tcPr>
          <w:p>
            <w:pPr>
              <w:ind w:left="40"/>
              <w:spacing w:after="0" w:line="136" w:lineRule="exact"/>
              <w:rPr>
                <w:sz w:val="20"/>
                <w:szCs w:val="20"/>
                <w:color w:val="auto"/>
              </w:rPr>
            </w:pPr>
            <w:r>
              <w:rPr>
                <w:rFonts w:ascii="Arial" w:cs="Arial" w:eastAsia="Arial" w:hAnsi="Arial"/>
                <w:sz w:val="13"/>
                <w:szCs w:val="13"/>
                <w:b w:val="1"/>
                <w:bCs w:val="1"/>
                <w:color w:val="auto"/>
              </w:rPr>
              <w:t>Effective tax</w:t>
            </w:r>
          </w:p>
        </w:tc>
        <w:tc>
          <w:tcPr>
            <w:tcW w:w="140" w:type="dxa"/>
            <w:vAlign w:val="bottom"/>
          </w:tcPr>
          <w:p>
            <w:pPr>
              <w:spacing w:after="0"/>
              <w:rPr>
                <w:sz w:val="11"/>
                <w:szCs w:val="11"/>
                <w:color w:val="auto"/>
              </w:rPr>
            </w:pPr>
          </w:p>
        </w:tc>
        <w:tc>
          <w:tcPr>
            <w:tcW w:w="1220" w:type="dxa"/>
            <w:vAlign w:val="bottom"/>
            <w:gridSpan w:val="2"/>
          </w:tcPr>
          <w:p>
            <w:pPr>
              <w:ind w:left="40"/>
              <w:spacing w:after="0" w:line="136" w:lineRule="exact"/>
              <w:rPr>
                <w:sz w:val="20"/>
                <w:szCs w:val="20"/>
                <w:color w:val="auto"/>
              </w:rPr>
            </w:pPr>
            <w:r>
              <w:rPr>
                <w:rFonts w:ascii="Arial" w:cs="Arial" w:eastAsia="Arial" w:hAnsi="Arial"/>
                <w:sz w:val="13"/>
                <w:szCs w:val="13"/>
                <w:b w:val="1"/>
                <w:bCs w:val="1"/>
                <w:color w:val="auto"/>
              </w:rPr>
              <w:t>Income before</w:t>
            </w:r>
          </w:p>
        </w:tc>
        <w:tc>
          <w:tcPr>
            <w:tcW w:w="120" w:type="dxa"/>
            <w:vAlign w:val="bottom"/>
          </w:tcPr>
          <w:p>
            <w:pPr>
              <w:spacing w:after="0"/>
              <w:rPr>
                <w:sz w:val="11"/>
                <w:szCs w:val="11"/>
                <w:color w:val="auto"/>
              </w:rPr>
            </w:pPr>
          </w:p>
        </w:tc>
        <w:tc>
          <w:tcPr>
            <w:tcW w:w="780" w:type="dxa"/>
            <w:vAlign w:val="bottom"/>
          </w:tcPr>
          <w:p>
            <w:pPr>
              <w:spacing w:after="0" w:line="136" w:lineRule="exact"/>
              <w:rPr>
                <w:sz w:val="20"/>
                <w:szCs w:val="20"/>
                <w:color w:val="auto"/>
              </w:rPr>
            </w:pPr>
            <w:r>
              <w:rPr>
                <w:rFonts w:ascii="Arial" w:cs="Arial" w:eastAsia="Arial" w:hAnsi="Arial"/>
                <w:sz w:val="13"/>
                <w:szCs w:val="13"/>
                <w:b w:val="1"/>
                <w:bCs w:val="1"/>
                <w:color w:val="auto"/>
              </w:rPr>
              <w:t>Income tax</w:t>
            </w:r>
          </w:p>
        </w:tc>
        <w:tc>
          <w:tcPr>
            <w:tcW w:w="100" w:type="dxa"/>
            <w:vAlign w:val="bottom"/>
          </w:tcPr>
          <w:p>
            <w:pPr>
              <w:spacing w:after="0"/>
              <w:rPr>
                <w:sz w:val="11"/>
                <w:szCs w:val="11"/>
                <w:color w:val="auto"/>
              </w:rPr>
            </w:pPr>
          </w:p>
        </w:tc>
        <w:tc>
          <w:tcPr>
            <w:tcW w:w="860" w:type="dxa"/>
            <w:vAlign w:val="bottom"/>
          </w:tcPr>
          <w:p>
            <w:pPr>
              <w:jc w:val="right"/>
              <w:spacing w:after="0" w:line="136" w:lineRule="exact"/>
              <w:rPr>
                <w:sz w:val="20"/>
                <w:szCs w:val="20"/>
                <w:color w:val="auto"/>
              </w:rPr>
            </w:pPr>
            <w:r>
              <w:rPr>
                <w:rFonts w:ascii="Arial" w:cs="Arial" w:eastAsia="Arial" w:hAnsi="Arial"/>
                <w:sz w:val="13"/>
                <w:szCs w:val="13"/>
                <w:b w:val="1"/>
                <w:bCs w:val="1"/>
                <w:color w:val="auto"/>
              </w:rPr>
              <w:t>Effective tax</w:t>
            </w:r>
          </w:p>
        </w:tc>
        <w:tc>
          <w:tcPr>
            <w:tcW w:w="0" w:type="dxa"/>
            <w:vAlign w:val="bottom"/>
          </w:tcPr>
          <w:p>
            <w:pPr>
              <w:spacing w:after="0"/>
              <w:rPr>
                <w:sz w:val="1"/>
                <w:szCs w:val="1"/>
                <w:color w:val="auto"/>
              </w:rPr>
            </w:pPr>
          </w:p>
        </w:tc>
      </w:tr>
      <w:tr>
        <w:trPr>
          <w:trHeight w:val="182"/>
        </w:trPr>
        <w:tc>
          <w:tcPr>
            <w:tcW w:w="48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66"/>
              <w:spacing w:after="0"/>
              <w:rPr>
                <w:sz w:val="20"/>
                <w:szCs w:val="20"/>
                <w:color w:val="auto"/>
              </w:rPr>
            </w:pPr>
            <w:r>
              <w:rPr>
                <w:rFonts w:ascii="Arial" w:cs="Arial" w:eastAsia="Arial" w:hAnsi="Arial"/>
                <w:sz w:val="13"/>
                <w:szCs w:val="13"/>
                <w:b w:val="1"/>
                <w:bCs w:val="1"/>
                <w:color w:val="auto"/>
              </w:rPr>
              <w:t>income taxes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27"/>
              <w:spacing w:after="0"/>
              <w:rPr>
                <w:sz w:val="20"/>
                <w:szCs w:val="20"/>
                <w:color w:val="auto"/>
              </w:rPr>
            </w:pPr>
            <w:r>
              <w:rPr>
                <w:rFonts w:ascii="Arial" w:cs="Arial" w:eastAsia="Arial" w:hAnsi="Arial"/>
                <w:sz w:val="13"/>
                <w:szCs w:val="13"/>
                <w:b w:val="1"/>
                <w:bCs w:val="1"/>
                <w:color w:val="auto"/>
              </w:rPr>
              <w:t>expense</w:t>
            </w: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rate</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46"/>
              <w:spacing w:after="0"/>
              <w:rPr>
                <w:sz w:val="20"/>
                <w:szCs w:val="20"/>
                <w:color w:val="auto"/>
              </w:rPr>
            </w:pPr>
            <w:r>
              <w:rPr>
                <w:rFonts w:ascii="Arial" w:cs="Arial" w:eastAsia="Arial" w:hAnsi="Arial"/>
                <w:sz w:val="13"/>
                <w:szCs w:val="13"/>
                <w:b w:val="1"/>
                <w:bCs w:val="1"/>
                <w:color w:val="auto"/>
              </w:rPr>
              <w:t>income taxes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27"/>
              <w:spacing w:after="0"/>
              <w:rPr>
                <w:sz w:val="20"/>
                <w:szCs w:val="20"/>
                <w:color w:val="auto"/>
              </w:rPr>
            </w:pPr>
            <w:r>
              <w:rPr>
                <w:rFonts w:ascii="Arial" w:cs="Arial" w:eastAsia="Arial" w:hAnsi="Arial"/>
                <w:sz w:val="13"/>
                <w:szCs w:val="13"/>
                <w:b w:val="1"/>
                <w:bCs w:val="1"/>
                <w:color w:val="auto"/>
              </w:rPr>
              <w:t>expense</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rate</w:t>
            </w:r>
          </w:p>
        </w:tc>
        <w:tc>
          <w:tcPr>
            <w:tcW w:w="0" w:type="dxa"/>
            <w:vAlign w:val="bottom"/>
          </w:tcPr>
          <w:p>
            <w:pPr>
              <w:spacing w:after="0"/>
              <w:rPr>
                <w:sz w:val="1"/>
                <w:szCs w:val="1"/>
                <w:color w:val="auto"/>
              </w:rPr>
            </w:pPr>
          </w:p>
        </w:tc>
      </w:tr>
      <w:tr>
        <w:trPr>
          <w:trHeight w:val="241"/>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Effective tax rate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8,549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rPr>
              <w:t>474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11,863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rPr>
              <w:t>11,533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0" w:type="dxa"/>
            <w:vAlign w:val="bottom"/>
          </w:tcPr>
          <w:p>
            <w:pPr>
              <w:spacing w:after="0"/>
              <w:rPr>
                <w:sz w:val="1"/>
                <w:szCs w:val="1"/>
                <w:color w:val="auto"/>
              </w:rPr>
            </w:pPr>
          </w:p>
        </w:tc>
      </w:tr>
      <w:tr>
        <w:trPr>
          <w:trHeight w:val="235"/>
        </w:trPr>
        <w:tc>
          <w:tcPr>
            <w:tcW w:w="4860" w:type="dxa"/>
            <w:vAlign w:val="bottom"/>
          </w:tcPr>
          <w:p>
            <w:pPr>
              <w:ind w:left="40"/>
              <w:spacing w:after="0"/>
              <w:rPr>
                <w:sz w:val="20"/>
                <w:szCs w:val="20"/>
                <w:color w:val="auto"/>
              </w:rPr>
            </w:pPr>
            <w:r>
              <w:rPr>
                <w:rFonts w:ascii="Arial" w:cs="Arial" w:eastAsia="Arial" w:hAnsi="Arial"/>
                <w:sz w:val="16"/>
                <w:szCs w:val="16"/>
                <w:color w:val="auto"/>
              </w:rPr>
              <w:t>Adjustments(a)(b)</w:t>
            </w:r>
          </w:p>
        </w:tc>
        <w:tc>
          <w:tcPr>
            <w:tcW w:w="160" w:type="dxa"/>
            <w:vAlign w:val="bottom"/>
          </w:tcPr>
          <w:p>
            <w:pPr>
              <w:spacing w:after="0"/>
              <w:rPr>
                <w:sz w:val="20"/>
                <w:szCs w:val="20"/>
                <w:color w:val="auto"/>
              </w:rPr>
            </w:pPr>
          </w:p>
        </w:tc>
        <w:tc>
          <w:tcPr>
            <w:tcW w:w="1100" w:type="dxa"/>
            <w:vAlign w:val="bottom"/>
          </w:tcPr>
          <w:p>
            <w:pPr>
              <w:jc w:val="right"/>
              <w:ind w:right="46"/>
              <w:spacing w:after="0"/>
              <w:rPr>
                <w:sz w:val="20"/>
                <w:szCs w:val="20"/>
                <w:color w:val="auto"/>
              </w:rPr>
            </w:pPr>
            <w:r>
              <w:rPr>
                <w:rFonts w:ascii="Arial" w:cs="Arial" w:eastAsia="Arial" w:hAnsi="Arial"/>
                <w:sz w:val="16"/>
                <w:szCs w:val="16"/>
                <w:color w:val="auto"/>
              </w:rPr>
              <w:t>2,946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7"/>
              <w:spacing w:after="0"/>
              <w:rPr>
                <w:sz w:val="20"/>
                <w:szCs w:val="20"/>
                <w:color w:val="auto"/>
              </w:rPr>
            </w:pPr>
            <w:r>
              <w:rPr>
                <w:rFonts w:ascii="Arial" w:cs="Arial" w:eastAsia="Arial" w:hAnsi="Arial"/>
                <w:sz w:val="16"/>
                <w:szCs w:val="16"/>
                <w:color w:val="auto"/>
              </w:rPr>
              <w:t>416</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6"/>
              <w:spacing w:after="0"/>
              <w:rPr>
                <w:sz w:val="20"/>
                <w:szCs w:val="20"/>
                <w:color w:val="auto"/>
              </w:rPr>
            </w:pPr>
            <w:r>
              <w:rPr>
                <w:rFonts w:ascii="Arial" w:cs="Arial" w:eastAsia="Arial" w:hAnsi="Arial"/>
                <w:sz w:val="16"/>
                <w:szCs w:val="16"/>
                <w:color w:val="auto"/>
              </w:rPr>
              <w:t>654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7"/>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 adjustments(c)</w:t>
            </w: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6"/>
                <w:szCs w:val="16"/>
                <w:color w:val="auto"/>
              </w:rPr>
              <w:t>1,111</w:t>
            </w: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(9,099)</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4860" w:type="dxa"/>
            <w:vAlign w:val="bottom"/>
          </w:tcPr>
          <w:p>
            <w:pPr>
              <w:ind w:left="40"/>
              <w:spacing w:after="0"/>
              <w:rPr>
                <w:sz w:val="20"/>
                <w:szCs w:val="20"/>
                <w:color w:val="auto"/>
              </w:rPr>
            </w:pPr>
            <w:r>
              <w:rPr>
                <w:rFonts w:ascii="Arial" w:cs="Arial" w:eastAsia="Arial" w:hAnsi="Arial"/>
                <w:sz w:val="16"/>
                <w:szCs w:val="16"/>
                <w:color w:val="auto"/>
              </w:rPr>
              <w:t>ETR-adjusted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11,495</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7"/>
              <w:spacing w:after="0"/>
              <w:rPr>
                <w:sz w:val="20"/>
                <w:szCs w:val="20"/>
                <w:color w:val="auto"/>
              </w:rPr>
            </w:pPr>
            <w:r>
              <w:rPr>
                <w:rFonts w:ascii="Arial" w:cs="Arial" w:eastAsia="Arial" w:hAnsi="Arial"/>
                <w:sz w:val="16"/>
                <w:szCs w:val="16"/>
                <w:color w:val="auto"/>
              </w:rPr>
              <w:t>2,001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12,517</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7"/>
              <w:spacing w:after="0"/>
              <w:rPr>
                <w:sz w:val="20"/>
                <w:szCs w:val="20"/>
                <w:color w:val="auto"/>
              </w:rPr>
            </w:pPr>
            <w:r>
              <w:rPr>
                <w:rFonts w:ascii="Arial" w:cs="Arial" w:eastAsia="Arial" w:hAnsi="Arial"/>
                <w:sz w:val="16"/>
                <w:szCs w:val="16"/>
                <w:color w:val="auto"/>
              </w:rPr>
              <w:t>2,642</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4"/>
                <w:szCs w:val="14"/>
                <w:color w:val="auto"/>
              </w:rPr>
              <w:t>________</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8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40" w:right="20" w:hanging="332"/>
        <w:spacing w:after="0" w:line="241"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Refer to the reconciliation of segment profit (loss) to Net income (loss) attributable to stockholders under U.S. GAAP for adjustment details. Net income attributable to noncontrolling interests for these adjustments is included in the year ended December 31, 2018.</w:t>
      </w: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tax effect of each adjustment is determined based on the tax laws and valuation allowance status of the jurisdiction to which the adjustment relates.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Refer to the reconciliation of diluted earnings (loss) per common share under U.S. GAAP to EPS-diluted-adjusted within the previous section for adjustment details.</w:t>
      </w:r>
    </w:p>
    <w:p>
      <w:pPr>
        <w:spacing w:after="0" w:line="167" w:lineRule="exact"/>
        <w:rPr>
          <w:sz w:val="20"/>
          <w:szCs w:val="20"/>
          <w:color w:val="auto"/>
        </w:rPr>
      </w:pPr>
    </w:p>
    <w:p>
      <w:pPr>
        <w:jc w:val="both"/>
        <w:ind w:right="20" w:firstLine="162"/>
        <w:spacing w:after="0" w:line="269" w:lineRule="auto"/>
        <w:rPr>
          <w:sz w:val="20"/>
          <w:szCs w:val="20"/>
          <w:color w:val="auto"/>
        </w:rPr>
      </w:pPr>
      <w:r>
        <w:rPr>
          <w:rFonts w:ascii="Arial" w:cs="Arial" w:eastAsia="Arial" w:hAnsi="Arial"/>
          <w:sz w:val="16"/>
          <w:szCs w:val="16"/>
          <w:color w:val="auto"/>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20" w:type="dxa"/>
            <w:vAlign w:val="bottom"/>
          </w:tcPr>
          <w:p>
            <w:pPr>
              <w:spacing w:after="0"/>
              <w:rPr>
                <w:sz w:val="15"/>
                <w:szCs w:val="15"/>
                <w:color w:val="auto"/>
              </w:rPr>
            </w:pPr>
          </w:p>
        </w:tc>
        <w:tc>
          <w:tcPr>
            <w:tcW w:w="22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Years Ended December 31,</w:t>
            </w:r>
          </w:p>
        </w:tc>
        <w:tc>
          <w:tcPr>
            <w:tcW w:w="540" w:type="dxa"/>
            <w:vAlign w:val="bottom"/>
            <w:tcBorders>
              <w:bottom w:val="single" w:sz="8" w:color="auto"/>
            </w:tcBorders>
          </w:tcPr>
          <w:p>
            <w:pPr>
              <w:spacing w:after="0"/>
              <w:rPr>
                <w:sz w:val="15"/>
                <w:szCs w:val="15"/>
                <w:color w:val="auto"/>
              </w:rPr>
            </w:pPr>
          </w:p>
        </w:tc>
      </w:tr>
      <w:tr>
        <w:trPr>
          <w:trHeight w:val="264"/>
        </w:trPr>
        <w:tc>
          <w:tcPr>
            <w:tcW w:w="86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2017</w:t>
            </w:r>
          </w:p>
        </w:tc>
        <w:tc>
          <w:tcPr>
            <w:tcW w:w="540" w:type="dxa"/>
            <w:vAlign w:val="bottom"/>
            <w:tcBorders>
              <w:bottom w:val="single" w:sz="8" w:color="auto"/>
            </w:tcBorders>
          </w:tcPr>
          <w:p>
            <w:pPr>
              <w:spacing w:after="0"/>
              <w:rPr>
                <w:sz w:val="22"/>
                <w:szCs w:val="22"/>
                <w:color w:val="auto"/>
              </w:rPr>
            </w:pPr>
          </w:p>
        </w:tc>
      </w:tr>
      <w:tr>
        <w:trPr>
          <w:trHeight w:val="241"/>
        </w:trPr>
        <w:tc>
          <w:tcPr>
            <w:tcW w:w="8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stockholders</w:t>
            </w:r>
          </w:p>
        </w:tc>
        <w:tc>
          <w:tcPr>
            <w:tcW w:w="820" w:type="dxa"/>
            <w:vAlign w:val="bottom"/>
            <w:shd w:val="clear" w:color="auto" w:fill="CCEEFF"/>
          </w:tcPr>
          <w:p>
            <w:pPr>
              <w:jc w:val="right"/>
              <w:ind w:right="628"/>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45"/>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(3.9)</w:t>
            </w:r>
          </w:p>
        </w:tc>
      </w:tr>
      <w:tr>
        <w:trPr>
          <w:trHeight w:val="235"/>
        </w:trPr>
        <w:tc>
          <w:tcPr>
            <w:tcW w:w="8620" w:type="dxa"/>
            <w:vAlign w:val="bottom"/>
          </w:tcPr>
          <w:p>
            <w:pPr>
              <w:ind w:left="40"/>
              <w:spacing w:after="0"/>
              <w:rPr>
                <w:sz w:val="20"/>
                <w:szCs w:val="20"/>
                <w:color w:val="auto"/>
              </w:rPr>
            </w:pPr>
            <w:r>
              <w:rPr>
                <w:rFonts w:ascii="Arial" w:cs="Arial" w:eastAsia="Arial" w:hAnsi="Arial"/>
                <w:sz w:val="16"/>
                <w:szCs w:val="16"/>
                <w:color w:val="auto"/>
              </w:rPr>
              <w:t>Average equity(a)</w:t>
            </w:r>
          </w:p>
        </w:tc>
        <w:tc>
          <w:tcPr>
            <w:tcW w:w="820" w:type="dxa"/>
            <w:vAlign w:val="bottom"/>
          </w:tcPr>
          <w:p>
            <w:pPr>
              <w:jc w:val="right"/>
              <w:ind w:right="628"/>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99"/>
              <w:spacing w:after="0"/>
              <w:rPr>
                <w:sz w:val="20"/>
                <w:szCs w:val="20"/>
                <w:color w:val="auto"/>
              </w:rPr>
            </w:pPr>
            <w:r>
              <w:rPr>
                <w:rFonts w:ascii="Arial" w:cs="Arial" w:eastAsia="Arial" w:hAnsi="Arial"/>
                <w:sz w:val="16"/>
                <w:szCs w:val="16"/>
                <w:color w:val="auto"/>
                <w:w w:val="96"/>
              </w:rPr>
              <w:t>37.4</w:t>
            </w:r>
          </w:p>
        </w:tc>
        <w:tc>
          <w:tcPr>
            <w:tcW w:w="100" w:type="dxa"/>
            <w:vAlign w:val="bottom"/>
          </w:tcPr>
          <w:p>
            <w:pPr>
              <w:spacing w:after="0"/>
              <w:rPr>
                <w:sz w:val="20"/>
                <w:szCs w:val="20"/>
                <w:color w:val="auto"/>
              </w:rPr>
            </w:pPr>
          </w:p>
        </w:tc>
        <w:tc>
          <w:tcPr>
            <w:tcW w:w="840" w:type="dxa"/>
            <w:vAlign w:val="bottom"/>
          </w:tcPr>
          <w:p>
            <w:pPr>
              <w:jc w:val="right"/>
              <w:ind w:right="645"/>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39"/>
              <w:spacing w:after="0"/>
              <w:rPr>
                <w:sz w:val="20"/>
                <w:szCs w:val="20"/>
                <w:color w:val="auto"/>
              </w:rPr>
            </w:pPr>
            <w:r>
              <w:rPr>
                <w:rFonts w:ascii="Arial" w:cs="Arial" w:eastAsia="Arial" w:hAnsi="Arial"/>
                <w:sz w:val="16"/>
                <w:szCs w:val="16"/>
                <w:color w:val="auto"/>
                <w:w w:val="96"/>
              </w:rPr>
              <w:t>42.2</w:t>
            </w:r>
          </w:p>
        </w:tc>
      </w:tr>
      <w:tr>
        <w:trPr>
          <w:trHeight w:val="251"/>
        </w:trPr>
        <w:tc>
          <w:tcPr>
            <w:tcW w:w="8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ROE</w:t>
            </w:r>
          </w:p>
        </w:tc>
        <w:tc>
          <w:tcPr>
            <w:tcW w:w="8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21.4%</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167"/>
        </w:trPr>
        <w:tc>
          <w:tcPr>
            <w:tcW w:w="8620" w:type="dxa"/>
            <w:vAlign w:val="bottom"/>
          </w:tcPr>
          <w:p>
            <w:pPr>
              <w:jc w:val="right"/>
              <w:ind w:right="7901"/>
              <w:spacing w:after="0"/>
              <w:rPr>
                <w:sz w:val="20"/>
                <w:szCs w:val="20"/>
                <w:color w:val="auto"/>
              </w:rPr>
            </w:pPr>
            <w:r>
              <w:rPr>
                <w:rFonts w:ascii="Arial" w:cs="Arial" w:eastAsia="Arial" w:hAnsi="Arial"/>
                <w:sz w:val="14"/>
                <w:szCs w:val="14"/>
                <w:color w:val="auto"/>
                <w:w w:val="99"/>
              </w:rPr>
              <w:t>________</w:t>
            </w: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r>
    </w:tbl>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equity of noncontrolling interests where the corresponding earnings (loss) are included in Net income (loss) attributable to stockholders.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the calculation of ROIC-adjusted (dollars in billions):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481"/>
              <w:spacing w:after="0"/>
              <w:rPr>
                <w:sz w:val="20"/>
                <w:szCs w:val="20"/>
                <w:color w:val="auto"/>
              </w:rPr>
            </w:pPr>
            <w:r>
              <w:rPr>
                <w:rFonts w:ascii="Arial" w:cs="Arial" w:eastAsia="Arial" w:hAnsi="Arial"/>
                <w:sz w:val="13"/>
                <w:szCs w:val="13"/>
                <w:b w:val="1"/>
                <w:bCs w:val="1"/>
                <w:color w:val="auto"/>
              </w:rPr>
              <w:t>Years Ended December 31,</w:t>
            </w:r>
          </w:p>
        </w:tc>
      </w:tr>
      <w:tr>
        <w:trPr>
          <w:trHeight w:val="264"/>
        </w:trPr>
        <w:tc>
          <w:tcPr>
            <w:tcW w:w="86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43"/>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2017</w:t>
            </w:r>
          </w:p>
        </w:tc>
      </w:tr>
      <w:tr>
        <w:trPr>
          <w:trHeight w:val="241"/>
        </w:trPr>
        <w:tc>
          <w:tcPr>
            <w:tcW w:w="8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EBIT-adjusted(a)</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11.8</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12.8</w:t>
            </w:r>
          </w:p>
        </w:tc>
      </w:tr>
      <w:tr>
        <w:trPr>
          <w:trHeight w:val="235"/>
        </w:trPr>
        <w:tc>
          <w:tcPr>
            <w:tcW w:w="8660" w:type="dxa"/>
            <w:vAlign w:val="bottom"/>
          </w:tcPr>
          <w:p>
            <w:pPr>
              <w:ind w:left="40"/>
              <w:spacing w:after="0"/>
              <w:rPr>
                <w:sz w:val="20"/>
                <w:szCs w:val="20"/>
                <w:color w:val="auto"/>
              </w:rPr>
            </w:pPr>
            <w:r>
              <w:rPr>
                <w:rFonts w:ascii="Arial" w:cs="Arial" w:eastAsia="Arial" w:hAnsi="Arial"/>
                <w:sz w:val="16"/>
                <w:szCs w:val="16"/>
                <w:color w:val="auto"/>
              </w:rPr>
              <w:t>Average equity(b)</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3"/>
              <w:spacing w:after="0"/>
              <w:rPr>
                <w:sz w:val="20"/>
                <w:szCs w:val="20"/>
                <w:color w:val="auto"/>
              </w:rPr>
            </w:pPr>
            <w:r>
              <w:rPr>
                <w:rFonts w:ascii="Arial" w:cs="Arial" w:eastAsia="Arial" w:hAnsi="Arial"/>
                <w:sz w:val="16"/>
                <w:szCs w:val="16"/>
                <w:color w:val="auto"/>
              </w:rPr>
              <w:t>37.4</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01"/>
              <w:spacing w:after="0"/>
              <w:rPr>
                <w:sz w:val="20"/>
                <w:szCs w:val="20"/>
                <w:color w:val="auto"/>
              </w:rPr>
            </w:pPr>
            <w:r>
              <w:rPr>
                <w:rFonts w:ascii="Arial" w:cs="Arial" w:eastAsia="Arial" w:hAnsi="Arial"/>
                <w:sz w:val="16"/>
                <w:szCs w:val="16"/>
                <w:color w:val="auto"/>
              </w:rPr>
              <w:t>42.2</w:t>
            </w:r>
          </w:p>
        </w:tc>
      </w:tr>
      <w:tr>
        <w:trPr>
          <w:trHeight w:val="251"/>
        </w:trPr>
        <w:tc>
          <w:tcPr>
            <w:tcW w:w="8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Average automotive debt and interest liabilities (excluding capital leases)</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11.6</w:t>
            </w:r>
          </w:p>
        </w:tc>
      </w:tr>
      <w:tr>
        <w:trPr>
          <w:trHeight w:val="235"/>
        </w:trPr>
        <w:tc>
          <w:tcPr>
            <w:tcW w:w="8660" w:type="dxa"/>
            <w:vAlign w:val="bottom"/>
          </w:tcPr>
          <w:p>
            <w:pPr>
              <w:ind w:left="40"/>
              <w:spacing w:after="0"/>
              <w:rPr>
                <w:sz w:val="20"/>
                <w:szCs w:val="20"/>
                <w:color w:val="auto"/>
              </w:rPr>
            </w:pPr>
            <w:r>
              <w:rPr>
                <w:rFonts w:ascii="Arial" w:cs="Arial" w:eastAsia="Arial" w:hAnsi="Arial"/>
                <w:sz w:val="16"/>
                <w:szCs w:val="16"/>
                <w:color w:val="auto"/>
              </w:rPr>
              <w:t>Add: Average automotive net pension &amp; OPEB liability</w:t>
            </w:r>
          </w:p>
        </w:tc>
        <w:tc>
          <w:tcPr>
            <w:tcW w:w="320" w:type="dxa"/>
            <w:vAlign w:val="bottom"/>
          </w:tcPr>
          <w:p>
            <w:pPr>
              <w:spacing w:after="0"/>
              <w:rPr>
                <w:sz w:val="20"/>
                <w:szCs w:val="20"/>
                <w:color w:val="auto"/>
              </w:rPr>
            </w:pPr>
          </w:p>
        </w:tc>
        <w:tc>
          <w:tcPr>
            <w:tcW w:w="1000" w:type="dxa"/>
            <w:vAlign w:val="bottom"/>
          </w:tcPr>
          <w:p>
            <w:pPr>
              <w:jc w:val="right"/>
              <w:ind w:right="83"/>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01"/>
              <w:spacing w:after="0"/>
              <w:rPr>
                <w:sz w:val="20"/>
                <w:szCs w:val="20"/>
                <w:color w:val="auto"/>
              </w:rPr>
            </w:pPr>
            <w:r>
              <w:rPr>
                <w:rFonts w:ascii="Arial" w:cs="Arial" w:eastAsia="Arial" w:hAnsi="Arial"/>
                <w:sz w:val="16"/>
                <w:szCs w:val="16"/>
                <w:color w:val="auto"/>
              </w:rPr>
              <w:t>21.0</w:t>
            </w:r>
          </w:p>
        </w:tc>
      </w:tr>
      <w:tr>
        <w:trPr>
          <w:trHeight w:val="244"/>
        </w:trPr>
        <w:tc>
          <w:tcPr>
            <w:tcW w:w="8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Average automotive net income tax asset</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(22.7)</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(29.3)</w:t>
            </w:r>
          </w:p>
        </w:tc>
      </w:tr>
      <w:tr>
        <w:trPr>
          <w:trHeight w:val="282"/>
        </w:trPr>
        <w:tc>
          <w:tcPr>
            <w:tcW w:w="8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ROIC-adjusted average net assets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47.4</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45.5</w:t>
            </w:r>
          </w:p>
        </w:tc>
      </w:tr>
      <w:tr>
        <w:trPr>
          <w:trHeight w:val="225"/>
        </w:trPr>
        <w:tc>
          <w:tcPr>
            <w:tcW w:w="8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ROIC-adjusted</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r>
      <w:tr>
        <w:trPr>
          <w:trHeight w:val="167"/>
        </w:trPr>
        <w:tc>
          <w:tcPr>
            <w:tcW w:w="8660" w:type="dxa"/>
            <w:vAlign w:val="bottom"/>
          </w:tcPr>
          <w:p>
            <w:pPr>
              <w:spacing w:after="0"/>
              <w:rPr>
                <w:sz w:val="20"/>
                <w:szCs w:val="20"/>
                <w:color w:val="auto"/>
              </w:rPr>
            </w:pPr>
            <w:r>
              <w:rPr>
                <w:rFonts w:ascii="Arial" w:cs="Arial" w:eastAsia="Arial" w:hAnsi="Arial"/>
                <w:sz w:val="14"/>
                <w:szCs w:val="14"/>
                <w:color w:val="auto"/>
              </w:rPr>
              <w:t>________</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Refer to the reconciliation of segment profit (loss) to Net income (loss) attributable to stockholders under U.S. GAAP for adjustment details.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equity of noncontrolling interests where the corresponding earnings (loss) are included in EBIT-adjusted.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552"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(Unaudited)</w:t>
      </w:r>
    </w:p>
    <w:p>
      <w:pPr>
        <w:spacing w:after="0" w:line="228" w:lineRule="exact"/>
        <w:rPr>
          <w:sz w:val="20"/>
          <w:szCs w:val="20"/>
          <w:color w:val="auto"/>
        </w:rPr>
      </w:pPr>
    </w:p>
    <w:p>
      <w:pPr>
        <w:ind w:firstLine="162"/>
        <w:spacing w:after="0" w:line="291" w:lineRule="auto"/>
        <w:rPr>
          <w:sz w:val="20"/>
          <w:szCs w:val="20"/>
          <w:color w:val="auto"/>
        </w:rPr>
      </w:pPr>
      <w:r>
        <w:rPr>
          <w:rFonts w:ascii="Arial" w:cs="Arial" w:eastAsia="Arial" w:hAnsi="Arial"/>
          <w:sz w:val="16"/>
          <w:szCs w:val="16"/>
          <w:color w:val="auto"/>
        </w:rPr>
        <w:t>The following table reconciles Net automotive cash provided by operating activities from continuing operations under U.S. GAAP to adjusted automotive free cash flow (dollars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3"/>
                <w:szCs w:val="13"/>
                <w:b w:val="1"/>
                <w:bCs w:val="1"/>
                <w:color w:val="auto"/>
              </w:rPr>
              <w:t>Years Ended</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1400" w:type="dxa"/>
            <w:vAlign w:val="bottom"/>
            <w:gridSpan w:val="3"/>
          </w:tcPr>
          <w:p>
            <w:pPr>
              <w:ind w:left="80"/>
              <w:spacing w:after="0"/>
              <w:rPr>
                <w:sz w:val="20"/>
                <w:szCs w:val="20"/>
                <w:color w:val="auto"/>
              </w:rPr>
            </w:pPr>
            <w:r>
              <w:rPr>
                <w:rFonts w:ascii="Arial" w:cs="Arial" w:eastAsia="Arial" w:hAnsi="Arial"/>
                <w:sz w:val="13"/>
                <w:szCs w:val="13"/>
                <w:b w:val="1"/>
                <w:bCs w:val="1"/>
                <w:color w:val="auto"/>
              </w:rPr>
              <w:t>December 31, 2018</w:t>
            </w:r>
          </w:p>
        </w:tc>
        <w:tc>
          <w:tcPr>
            <w:tcW w:w="1360" w:type="dxa"/>
            <w:vAlign w:val="bottom"/>
            <w:gridSpan w:val="3"/>
          </w:tcPr>
          <w:p>
            <w:pPr>
              <w:ind w:left="60"/>
              <w:spacing w:after="0"/>
              <w:rPr>
                <w:sz w:val="20"/>
                <w:szCs w:val="20"/>
                <w:color w:val="auto"/>
              </w:rPr>
            </w:pPr>
            <w:r>
              <w:rPr>
                <w:rFonts w:ascii="Arial" w:cs="Arial" w:eastAsia="Arial" w:hAnsi="Arial"/>
                <w:sz w:val="13"/>
                <w:szCs w:val="13"/>
                <w:b w:val="1"/>
                <w:bCs w:val="1"/>
                <w:color w:val="auto"/>
              </w:rPr>
              <w:t>December 31, 2017</w:t>
            </w:r>
          </w:p>
        </w:tc>
        <w:tc>
          <w:tcPr>
            <w:tcW w:w="1340" w:type="dxa"/>
            <w:vAlign w:val="bottom"/>
            <w:gridSpan w:val="3"/>
          </w:tcPr>
          <w:p>
            <w:pPr>
              <w:ind w:left="40"/>
              <w:spacing w:after="0"/>
              <w:rPr>
                <w:sz w:val="20"/>
                <w:szCs w:val="20"/>
                <w:color w:val="auto"/>
              </w:rPr>
            </w:pPr>
            <w:r>
              <w:rPr>
                <w:rFonts w:ascii="Arial" w:cs="Arial" w:eastAsia="Arial" w:hAnsi="Arial"/>
                <w:sz w:val="13"/>
                <w:szCs w:val="13"/>
                <w:b w:val="1"/>
                <w:bCs w:val="1"/>
                <w:color w:val="auto"/>
              </w:rPr>
              <w:t>December 31, 2018</w:t>
            </w:r>
          </w:p>
        </w:tc>
        <w:tc>
          <w:tcPr>
            <w:tcW w:w="1240" w:type="dxa"/>
            <w:vAlign w:val="bottom"/>
            <w:gridSpan w:val="2"/>
          </w:tcPr>
          <w:p>
            <w:pPr>
              <w:jc w:val="right"/>
              <w:spacing w:after="0"/>
              <w:rPr>
                <w:sz w:val="20"/>
                <w:szCs w:val="20"/>
                <w:color w:val="auto"/>
              </w:rPr>
            </w:pPr>
            <w:r>
              <w:rPr>
                <w:rFonts w:ascii="Arial" w:cs="Arial" w:eastAsia="Arial" w:hAnsi="Arial"/>
                <w:sz w:val="13"/>
                <w:szCs w:val="13"/>
                <w:b w:val="1"/>
                <w:bCs w:val="1"/>
                <w:color w:val="auto"/>
              </w:rPr>
              <w:t>December 31, 2017</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automotive cash provided by operating activities – continuing operations</w:t>
            </w:r>
          </w:p>
        </w:tc>
        <w:tc>
          <w:tcPr>
            <w:tcW w:w="40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6,299</w:t>
            </w:r>
          </w:p>
        </w:tc>
        <w:tc>
          <w:tcPr>
            <w:tcW w:w="12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jc w:val="right"/>
              <w:ind w:right="425"/>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6,775</w:t>
            </w: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11,737</w:t>
            </w:r>
          </w:p>
        </w:tc>
        <w:tc>
          <w:tcPr>
            <w:tcW w:w="10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jc w:val="right"/>
              <w:ind w:right="305"/>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14,358</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6040" w:type="dxa"/>
            <w:vAlign w:val="bottom"/>
          </w:tcPr>
          <w:p>
            <w:pPr>
              <w:ind w:left="20"/>
              <w:spacing w:after="0"/>
              <w:rPr>
                <w:sz w:val="20"/>
                <w:szCs w:val="20"/>
                <w:color w:val="auto"/>
              </w:rPr>
            </w:pPr>
            <w:r>
              <w:rPr>
                <w:rFonts w:ascii="Arial" w:cs="Arial" w:eastAsia="Arial" w:hAnsi="Arial"/>
                <w:sz w:val="16"/>
                <w:szCs w:val="16"/>
                <w:color w:val="auto"/>
              </w:rPr>
              <w:t>Less: capital expenditures – continuing operations</w:t>
            </w:r>
          </w:p>
        </w:tc>
        <w:tc>
          <w:tcPr>
            <w:tcW w:w="4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(2,190)</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(2,049)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(8,686)</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(8,325)</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w:t>
            </w:r>
          </w:p>
        </w:tc>
        <w:tc>
          <w:tcPr>
            <w:tcW w:w="4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6040" w:type="dxa"/>
            <w:vAlign w:val="bottom"/>
          </w:tcPr>
          <w:p>
            <w:pPr>
              <w:ind w:left="200"/>
              <w:spacing w:after="0"/>
              <w:rPr>
                <w:sz w:val="20"/>
                <w:szCs w:val="20"/>
                <w:color w:val="auto"/>
              </w:rPr>
            </w:pPr>
            <w:r>
              <w:rPr>
                <w:rFonts w:ascii="Arial" w:cs="Arial" w:eastAsia="Arial" w:hAnsi="Arial"/>
                <w:sz w:val="16"/>
                <w:szCs w:val="16"/>
                <w:color w:val="auto"/>
              </w:rPr>
              <w:t>Transformation activities</w:t>
            </w:r>
          </w:p>
        </w:tc>
        <w:tc>
          <w:tcPr>
            <w:tcW w:w="400" w:type="dxa"/>
            <w:vAlign w:val="bottom"/>
          </w:tcPr>
          <w:p>
            <w:pPr>
              <w:spacing w:after="0"/>
              <w:rPr>
                <w:sz w:val="22"/>
                <w:szCs w:val="22"/>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Korea restructuring</w:t>
            </w:r>
          </w:p>
        </w:tc>
        <w:tc>
          <w:tcPr>
            <w:tcW w:w="4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775</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6040" w:type="dxa"/>
            <w:vAlign w:val="bottom"/>
          </w:tcPr>
          <w:p>
            <w:pPr>
              <w:ind w:left="200"/>
              <w:spacing w:after="0"/>
              <w:rPr>
                <w:sz w:val="20"/>
                <w:szCs w:val="20"/>
                <w:color w:val="auto"/>
              </w:rPr>
            </w:pPr>
            <w:r>
              <w:rPr>
                <w:rFonts w:ascii="Arial" w:cs="Arial" w:eastAsia="Arial" w:hAnsi="Arial"/>
                <w:sz w:val="16"/>
                <w:szCs w:val="16"/>
                <w:color w:val="auto"/>
              </w:rPr>
              <w:t>U.K. pension plan contribution(a)</w:t>
            </w:r>
          </w:p>
        </w:tc>
        <w:tc>
          <w:tcPr>
            <w:tcW w:w="40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2"/>
                <w:szCs w:val="22"/>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GM Financial dividend(a)</w:t>
            </w:r>
          </w:p>
        </w:tc>
        <w:tc>
          <w:tcPr>
            <w:tcW w:w="4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adjustments</w:t>
            </w:r>
          </w:p>
        </w:tc>
        <w:tc>
          <w:tcPr>
            <w:tcW w:w="4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(352)</w:t>
            </w:r>
          </w:p>
        </w:tc>
        <w:tc>
          <w:tcPr>
            <w:tcW w:w="1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794</w:t>
            </w:r>
          </w:p>
        </w:tc>
        <w:tc>
          <w:tcPr>
            <w:tcW w:w="10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automotive free cash flow – continuing operations</w:t>
            </w:r>
          </w:p>
        </w:tc>
        <w:tc>
          <w:tcPr>
            <w:tcW w:w="4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4,155</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4,374</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3,845</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5,681</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6040" w:type="dxa"/>
            <w:vAlign w:val="bottom"/>
          </w:tcPr>
          <w:p>
            <w:pPr>
              <w:ind w:left="20"/>
              <w:spacing w:after="0"/>
              <w:rPr>
                <w:sz w:val="20"/>
                <w:szCs w:val="20"/>
                <w:color w:val="auto"/>
              </w:rPr>
            </w:pPr>
            <w:r>
              <w:rPr>
                <w:rFonts w:ascii="Arial" w:cs="Arial" w:eastAsia="Arial" w:hAnsi="Arial"/>
                <w:sz w:val="16"/>
                <w:szCs w:val="16"/>
                <w:color w:val="auto"/>
              </w:rPr>
              <w:t>Net automotive cash used in operating activities – discontinued operations</w:t>
            </w:r>
          </w:p>
        </w:tc>
        <w:tc>
          <w:tcPr>
            <w:tcW w:w="40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capital expenditures – discontinued operations</w:t>
            </w:r>
          </w:p>
        </w:tc>
        <w:tc>
          <w:tcPr>
            <w:tcW w:w="4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40" w:type="dxa"/>
            <w:vAlign w:val="bottom"/>
          </w:tcPr>
          <w:p>
            <w:pPr>
              <w:ind w:left="20"/>
              <w:spacing w:after="0"/>
              <w:rPr>
                <w:sz w:val="20"/>
                <w:szCs w:val="20"/>
                <w:color w:val="auto"/>
              </w:rPr>
            </w:pPr>
            <w:r>
              <w:rPr>
                <w:rFonts w:ascii="Arial" w:cs="Arial" w:eastAsia="Arial" w:hAnsi="Arial"/>
                <w:sz w:val="16"/>
                <w:szCs w:val="16"/>
                <w:color w:val="auto"/>
              </w:rPr>
              <w:t>Adjusted automotive free cash flow</w:t>
            </w:r>
          </w:p>
        </w:tc>
        <w:tc>
          <w:tcPr>
            <w:tcW w:w="40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4,155</w:t>
            </w:r>
          </w:p>
        </w:tc>
        <w:tc>
          <w:tcPr>
            <w:tcW w:w="1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ind w:right="425"/>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4,323</w:t>
            </w:r>
          </w:p>
        </w:tc>
        <w:tc>
          <w:tcPr>
            <w:tcW w:w="12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3,845</w:t>
            </w:r>
          </w:p>
        </w:tc>
        <w:tc>
          <w:tcPr>
            <w:tcW w:w="1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4,992</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jc w:val="right"/>
              <w:ind w:right="5339"/>
              <w:spacing w:after="0"/>
              <w:rPr>
                <w:sz w:val="20"/>
                <w:szCs w:val="20"/>
                <w:color w:val="auto"/>
              </w:rPr>
            </w:pPr>
            <w:r>
              <w:rPr>
                <w:rFonts w:ascii="Arial" w:cs="Arial" w:eastAsia="Arial" w:hAnsi="Arial"/>
                <w:sz w:val="14"/>
                <w:szCs w:val="14"/>
                <w:color w:val="auto"/>
                <w:w w:val="99"/>
              </w:rPr>
              <w:t>________</w:t>
            </w: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06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These cash flows were excluded because they resulted from the sale of the European Business.</w:t>
      </w:r>
    </w:p>
    <w:p>
      <w:pPr>
        <w:spacing w:after="0" w:line="221" w:lineRule="exact"/>
        <w:rPr>
          <w:rFonts w:ascii="Arial" w:cs="Arial" w:eastAsia="Arial" w:hAnsi="Arial"/>
          <w:sz w:val="14"/>
          <w:szCs w:val="14"/>
          <w:color w:val="auto"/>
        </w:rPr>
      </w:pPr>
    </w:p>
    <w:p>
      <w:pPr>
        <w:ind w:left="5660"/>
        <w:spacing w:after="0"/>
        <w:rPr>
          <w:rFonts w:ascii="Arial" w:cs="Arial" w:eastAsia="Arial" w:hAnsi="Arial"/>
          <w:sz w:val="14"/>
          <w:szCs w:val="14"/>
          <w:color w:val="auto"/>
        </w:rPr>
      </w:pPr>
      <w:r>
        <w:rPr>
          <w:rFonts w:ascii="Arial" w:cs="Arial" w:eastAsia="Arial" w:hAnsi="Arial"/>
          <w:sz w:val="16"/>
          <w:szCs w:val="16"/>
          <w:color w:val="auto"/>
        </w:rPr>
        <w:t>5</w:t>
      </w:r>
    </w:p>
    <w:p>
      <w:pPr>
        <w:sectPr>
          <w:pgSz w:w="11900" w:h="16838" w:orient="portrait"/>
          <w:cols w:equalWidth="0" w:num="1">
            <w:col w:w="11420"/>
          </w:cols>
          <w:pgMar w:left="240" w:top="552"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2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tables summarize key financial information by segment (dollars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Total</w:t>
            </w: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GM</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59"/>
        </w:trPr>
        <w:tc>
          <w:tcPr>
            <w:tcW w:w="3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GMNA</w:t>
            </w:r>
          </w:p>
        </w:tc>
        <w:tc>
          <w:tcPr>
            <w:tcW w:w="200" w:type="dxa"/>
            <w:vAlign w:val="bottom"/>
          </w:tcPr>
          <w:p>
            <w:pPr>
              <w:spacing w:after="0"/>
              <w:rPr>
                <w:sz w:val="13"/>
                <w:szCs w:val="13"/>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GMI</w:t>
            </w:r>
          </w:p>
        </w:tc>
        <w:tc>
          <w:tcPr>
            <w:tcW w:w="120" w:type="dxa"/>
            <w:vAlign w:val="bottom"/>
          </w:tcPr>
          <w:p>
            <w:pPr>
              <w:spacing w:after="0"/>
              <w:rPr>
                <w:sz w:val="13"/>
                <w:szCs w:val="13"/>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Corporate</w:t>
            </w:r>
          </w:p>
        </w:tc>
        <w:tc>
          <w:tcPr>
            <w:tcW w:w="12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Automotive</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GM Cruise</w:t>
            </w:r>
          </w:p>
        </w:tc>
        <w:tc>
          <w:tcPr>
            <w:tcW w:w="140" w:type="dxa"/>
            <w:vAlign w:val="bottom"/>
          </w:tcPr>
          <w:p>
            <w:pPr>
              <w:spacing w:after="0"/>
              <w:rPr>
                <w:sz w:val="13"/>
                <w:szCs w:val="13"/>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Financial</w:t>
            </w:r>
          </w:p>
        </w:tc>
        <w:tc>
          <w:tcPr>
            <w:tcW w:w="100" w:type="dxa"/>
            <w:vAlign w:val="bottom"/>
          </w:tcPr>
          <w:p>
            <w:pPr>
              <w:spacing w:after="0"/>
              <w:rPr>
                <w:sz w:val="13"/>
                <w:szCs w:val="13"/>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60" w:type="dxa"/>
            <w:vAlign w:val="bottom"/>
          </w:tcPr>
          <w:p>
            <w:pPr>
              <w:spacing w:after="0"/>
              <w:rPr>
                <w:sz w:val="13"/>
                <w:szCs w:val="13"/>
                <w:color w:val="auto"/>
              </w:rPr>
            </w:pPr>
          </w:p>
        </w:tc>
        <w:tc>
          <w:tcPr>
            <w:tcW w:w="620" w:type="dxa"/>
            <w:vAlign w:val="bottom"/>
          </w:tcPr>
          <w:p>
            <w:pPr>
              <w:jc w:val="right"/>
              <w:ind w:right="198"/>
              <w:spacing w:after="0"/>
              <w:rPr>
                <w:sz w:val="20"/>
                <w:szCs w:val="20"/>
                <w:color w:val="auto"/>
              </w:rPr>
            </w:pPr>
            <w:r>
              <w:rPr>
                <w:rFonts w:ascii="Arial" w:cs="Arial" w:eastAsia="Arial" w:hAnsi="Arial"/>
                <w:sz w:val="11"/>
                <w:szCs w:val="11"/>
                <w:b w:val="1"/>
                <w:bCs w:val="1"/>
                <w:color w:val="auto"/>
              </w:rPr>
              <w:t>Total</w:t>
            </w:r>
          </w:p>
        </w:tc>
      </w:tr>
      <w:tr>
        <w:trPr>
          <w:trHeight w:val="263"/>
        </w:trPr>
        <w:tc>
          <w:tcPr>
            <w:tcW w:w="3100" w:type="dxa"/>
            <w:vAlign w:val="bottom"/>
          </w:tcPr>
          <w:p>
            <w:pPr>
              <w:ind w:left="40"/>
              <w:spacing w:after="0"/>
              <w:rPr>
                <w:sz w:val="20"/>
                <w:szCs w:val="20"/>
                <w:color w:val="auto"/>
              </w:rPr>
            </w:pPr>
            <w:r>
              <w:rPr>
                <w:rFonts w:ascii="Arial" w:cs="Arial" w:eastAsia="Arial" w:hAnsi="Arial"/>
                <w:sz w:val="11"/>
                <w:szCs w:val="11"/>
                <w:b w:val="1"/>
                <w:bCs w:val="1"/>
                <w:color w:val="auto"/>
              </w:rPr>
              <w:t>Three Months Ended December 31, 2018</w:t>
            </w:r>
          </w:p>
        </w:tc>
        <w:tc>
          <w:tcPr>
            <w:tcW w:w="18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r>
      <w:tr>
        <w:trPr>
          <w:trHeight w:val="277"/>
        </w:trPr>
        <w:tc>
          <w:tcPr>
            <w:tcW w:w="3100" w:type="dxa"/>
            <w:vAlign w:val="bottom"/>
            <w:shd w:val="clear" w:color="auto" w:fill="CCEEFF"/>
          </w:tcPr>
          <w:p>
            <w:pPr>
              <w:ind w:left="40"/>
              <w:spacing w:after="0"/>
              <w:rPr>
                <w:sz w:val="20"/>
                <w:szCs w:val="20"/>
                <w:color w:val="auto"/>
              </w:rPr>
            </w:pPr>
            <w:r>
              <w:rPr>
                <w:rFonts w:ascii="Arial" w:cs="Arial" w:eastAsia="Arial" w:hAnsi="Arial"/>
                <w:sz w:val="11"/>
                <w:szCs w:val="11"/>
                <w:color w:val="auto"/>
              </w:rPr>
              <w:t>Net sales and revenue</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29,823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4,960</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34,831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3,599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38,399</w:t>
            </w:r>
          </w:p>
        </w:tc>
      </w:tr>
      <w:tr>
        <w:trPr>
          <w:trHeight w:val="263"/>
        </w:trPr>
        <w:tc>
          <w:tcPr>
            <w:tcW w:w="3100" w:type="dxa"/>
            <w:vAlign w:val="bottom"/>
          </w:tcPr>
          <w:p>
            <w:pPr>
              <w:ind w:left="40"/>
              <w:spacing w:after="0"/>
              <w:rPr>
                <w:sz w:val="20"/>
                <w:szCs w:val="20"/>
                <w:color w:val="auto"/>
              </w:rPr>
            </w:pPr>
            <w:r>
              <w:rPr>
                <w:rFonts w:ascii="Arial" w:cs="Arial" w:eastAsia="Arial" w:hAnsi="Arial"/>
                <w:sz w:val="11"/>
                <w:szCs w:val="11"/>
                <w:color w:val="auto"/>
              </w:rPr>
              <w:t>Expenditures for property</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8"/>
              <w:spacing w:after="0"/>
              <w:rPr>
                <w:sz w:val="20"/>
                <w:szCs w:val="20"/>
                <w:color w:val="auto"/>
              </w:rPr>
            </w:pPr>
            <w:r>
              <w:rPr>
                <w:rFonts w:ascii="Arial" w:cs="Arial" w:eastAsia="Arial" w:hAnsi="Arial"/>
                <w:sz w:val="13"/>
                <w:szCs w:val="13"/>
                <w:color w:val="auto"/>
              </w:rPr>
              <w:t>1,942</w:t>
            </w:r>
          </w:p>
        </w:tc>
        <w:tc>
          <w:tcPr>
            <w:tcW w:w="120" w:type="dxa"/>
            <w:vAlign w:val="bottom"/>
          </w:tcPr>
          <w:p>
            <w:pPr>
              <w:spacing w:after="0"/>
              <w:rPr>
                <w:sz w:val="22"/>
                <w:szCs w:val="22"/>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58"/>
              <w:spacing w:after="0"/>
              <w:rPr>
                <w:sz w:val="20"/>
                <w:szCs w:val="20"/>
                <w:color w:val="auto"/>
              </w:rPr>
            </w:pPr>
            <w:r>
              <w:rPr>
                <w:rFonts w:ascii="Arial" w:cs="Arial" w:eastAsia="Arial" w:hAnsi="Arial"/>
                <w:sz w:val="13"/>
                <w:szCs w:val="13"/>
                <w:color w:val="auto"/>
              </w:rPr>
              <w:t>243</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9"/>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40"/>
              <w:spacing w:after="0"/>
              <w:rPr>
                <w:sz w:val="20"/>
                <w:szCs w:val="20"/>
                <w:color w:val="auto"/>
              </w:rPr>
            </w:pPr>
            <w:r>
              <w:rPr>
                <w:rFonts w:ascii="Arial" w:cs="Arial" w:eastAsia="Arial" w:hAnsi="Arial"/>
                <w:sz w:val="13"/>
                <w:szCs w:val="13"/>
                <w:color w:val="auto"/>
              </w:rPr>
              <w:t>2,190</w:t>
            </w:r>
          </w:p>
        </w:tc>
        <w:tc>
          <w:tcPr>
            <w:tcW w:w="120" w:type="dxa"/>
            <w:vAlign w:val="bottom"/>
          </w:tcPr>
          <w:p>
            <w:pPr>
              <w:spacing w:after="0"/>
              <w:rPr>
                <w:sz w:val="22"/>
                <w:szCs w:val="22"/>
                <w:color w:val="auto"/>
              </w:rPr>
            </w:pPr>
          </w:p>
        </w:tc>
        <w:tc>
          <w:tcPr>
            <w:tcW w:w="2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40"/>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2,199</w:t>
            </w:r>
          </w:p>
        </w:tc>
      </w:tr>
      <w:tr>
        <w:trPr>
          <w:trHeight w:val="277"/>
        </w:trPr>
        <w:tc>
          <w:tcPr>
            <w:tcW w:w="3100" w:type="dxa"/>
            <w:vAlign w:val="bottom"/>
            <w:shd w:val="clear" w:color="auto" w:fill="CCEEFF"/>
          </w:tcPr>
          <w:p>
            <w:pPr>
              <w:ind w:left="40"/>
              <w:spacing w:after="0"/>
              <w:rPr>
                <w:sz w:val="20"/>
                <w:szCs w:val="20"/>
                <w:color w:val="auto"/>
              </w:rPr>
            </w:pPr>
            <w:r>
              <w:rPr>
                <w:rFonts w:ascii="Arial" w:cs="Arial" w:eastAsia="Arial" w:hAnsi="Arial"/>
                <w:sz w:val="11"/>
                <w:szCs w:val="11"/>
                <w:color w:val="auto"/>
              </w:rPr>
              <w:t>Depreciation and amortization</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1,521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136</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1,668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1,971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3,641</w:t>
            </w:r>
          </w:p>
        </w:tc>
      </w:tr>
      <w:tr>
        <w:trPr>
          <w:trHeight w:val="263"/>
        </w:trPr>
        <w:tc>
          <w:tcPr>
            <w:tcW w:w="3100" w:type="dxa"/>
            <w:vAlign w:val="bottom"/>
          </w:tcPr>
          <w:p>
            <w:pPr>
              <w:ind w:left="40"/>
              <w:spacing w:after="0"/>
              <w:rPr>
                <w:sz w:val="20"/>
                <w:szCs w:val="20"/>
                <w:color w:val="auto"/>
              </w:rPr>
            </w:pPr>
            <w:r>
              <w:rPr>
                <w:rFonts w:ascii="Arial" w:cs="Arial" w:eastAsia="Arial" w:hAnsi="Arial"/>
                <w:sz w:val="11"/>
                <w:szCs w:val="11"/>
                <w:color w:val="auto"/>
              </w:rPr>
              <w:t>Impairment charges</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8"/>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58"/>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40"/>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2"/>
                <w:szCs w:val="22"/>
                <w:color w:val="auto"/>
              </w:rPr>
            </w:pPr>
          </w:p>
        </w:tc>
        <w:tc>
          <w:tcPr>
            <w:tcW w:w="2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5</w:t>
            </w:r>
          </w:p>
        </w:tc>
      </w:tr>
      <w:tr>
        <w:trPr>
          <w:trHeight w:val="277"/>
        </w:trPr>
        <w:tc>
          <w:tcPr>
            <w:tcW w:w="3100" w:type="dxa"/>
            <w:vAlign w:val="bottom"/>
            <w:shd w:val="clear" w:color="auto" w:fill="CCEEFF"/>
          </w:tcPr>
          <w:p>
            <w:pPr>
              <w:ind w:left="40"/>
              <w:spacing w:after="0"/>
              <w:rPr>
                <w:sz w:val="20"/>
                <w:szCs w:val="20"/>
                <w:color w:val="auto"/>
              </w:rPr>
            </w:pPr>
            <w:r>
              <w:rPr>
                <w:rFonts w:ascii="Arial" w:cs="Arial" w:eastAsia="Arial" w:hAnsi="Arial"/>
                <w:sz w:val="11"/>
                <w:szCs w:val="11"/>
                <w:color w:val="auto"/>
              </w:rPr>
              <w:t>Equity income(a)</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305</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306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42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348</w:t>
            </w:r>
          </w:p>
        </w:tc>
      </w:tr>
      <w:tr>
        <w:trPr>
          <w:trHeight w:val="455"/>
        </w:trPr>
        <w:tc>
          <w:tcPr>
            <w:tcW w:w="3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Total</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GM</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59"/>
        </w:trPr>
        <w:tc>
          <w:tcPr>
            <w:tcW w:w="3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GMNA</w:t>
            </w:r>
          </w:p>
        </w:tc>
        <w:tc>
          <w:tcPr>
            <w:tcW w:w="200" w:type="dxa"/>
            <w:vAlign w:val="bottom"/>
          </w:tcPr>
          <w:p>
            <w:pPr>
              <w:spacing w:after="0"/>
              <w:rPr>
                <w:sz w:val="13"/>
                <w:szCs w:val="13"/>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GMI</w:t>
            </w:r>
          </w:p>
        </w:tc>
        <w:tc>
          <w:tcPr>
            <w:tcW w:w="120" w:type="dxa"/>
            <w:vAlign w:val="bottom"/>
          </w:tcPr>
          <w:p>
            <w:pPr>
              <w:spacing w:after="0"/>
              <w:rPr>
                <w:sz w:val="13"/>
                <w:szCs w:val="13"/>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Corporate</w:t>
            </w:r>
          </w:p>
        </w:tc>
        <w:tc>
          <w:tcPr>
            <w:tcW w:w="12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Automotive</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GM Cruise</w:t>
            </w:r>
          </w:p>
        </w:tc>
        <w:tc>
          <w:tcPr>
            <w:tcW w:w="140" w:type="dxa"/>
            <w:vAlign w:val="bottom"/>
          </w:tcPr>
          <w:p>
            <w:pPr>
              <w:spacing w:after="0"/>
              <w:rPr>
                <w:sz w:val="13"/>
                <w:szCs w:val="13"/>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Financial</w:t>
            </w:r>
          </w:p>
        </w:tc>
        <w:tc>
          <w:tcPr>
            <w:tcW w:w="100" w:type="dxa"/>
            <w:vAlign w:val="bottom"/>
          </w:tcPr>
          <w:p>
            <w:pPr>
              <w:spacing w:after="0"/>
              <w:rPr>
                <w:sz w:val="13"/>
                <w:szCs w:val="13"/>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60" w:type="dxa"/>
            <w:vAlign w:val="bottom"/>
          </w:tcPr>
          <w:p>
            <w:pPr>
              <w:spacing w:after="0"/>
              <w:rPr>
                <w:sz w:val="13"/>
                <w:szCs w:val="13"/>
                <w:color w:val="auto"/>
              </w:rPr>
            </w:pPr>
          </w:p>
        </w:tc>
        <w:tc>
          <w:tcPr>
            <w:tcW w:w="620" w:type="dxa"/>
            <w:vAlign w:val="bottom"/>
          </w:tcPr>
          <w:p>
            <w:pPr>
              <w:jc w:val="right"/>
              <w:ind w:right="198"/>
              <w:spacing w:after="0"/>
              <w:rPr>
                <w:sz w:val="20"/>
                <w:szCs w:val="20"/>
                <w:color w:val="auto"/>
              </w:rPr>
            </w:pPr>
            <w:r>
              <w:rPr>
                <w:rFonts w:ascii="Arial" w:cs="Arial" w:eastAsia="Arial" w:hAnsi="Arial"/>
                <w:sz w:val="11"/>
                <w:szCs w:val="11"/>
                <w:b w:val="1"/>
                <w:bCs w:val="1"/>
                <w:color w:val="auto"/>
              </w:rPr>
              <w:t>Total</w:t>
            </w:r>
          </w:p>
        </w:tc>
      </w:tr>
      <w:tr>
        <w:trPr>
          <w:trHeight w:val="263"/>
        </w:trPr>
        <w:tc>
          <w:tcPr>
            <w:tcW w:w="3100" w:type="dxa"/>
            <w:vAlign w:val="bottom"/>
          </w:tcPr>
          <w:p>
            <w:pPr>
              <w:ind w:left="40"/>
              <w:spacing w:after="0"/>
              <w:rPr>
                <w:sz w:val="20"/>
                <w:szCs w:val="20"/>
                <w:color w:val="auto"/>
              </w:rPr>
            </w:pPr>
            <w:r>
              <w:rPr>
                <w:rFonts w:ascii="Arial" w:cs="Arial" w:eastAsia="Arial" w:hAnsi="Arial"/>
                <w:sz w:val="11"/>
                <w:szCs w:val="11"/>
                <w:b w:val="1"/>
                <w:bCs w:val="1"/>
                <w:color w:val="auto"/>
              </w:rPr>
              <w:t>Three Months Ended December 31, 2017</w:t>
            </w:r>
          </w:p>
        </w:tc>
        <w:tc>
          <w:tcPr>
            <w:tcW w:w="18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r>
      <w:tr>
        <w:trPr>
          <w:trHeight w:val="277"/>
        </w:trPr>
        <w:tc>
          <w:tcPr>
            <w:tcW w:w="3100" w:type="dxa"/>
            <w:vAlign w:val="bottom"/>
            <w:shd w:val="clear" w:color="auto" w:fill="CCEEFF"/>
          </w:tcPr>
          <w:p>
            <w:pPr>
              <w:ind w:left="40"/>
              <w:spacing w:after="0"/>
              <w:rPr>
                <w:sz w:val="20"/>
                <w:szCs w:val="20"/>
                <w:color w:val="auto"/>
              </w:rPr>
            </w:pPr>
            <w:r>
              <w:rPr>
                <w:rFonts w:ascii="Arial" w:cs="Arial" w:eastAsia="Arial" w:hAnsi="Arial"/>
                <w:sz w:val="11"/>
                <w:szCs w:val="11"/>
                <w:color w:val="auto"/>
              </w:rPr>
              <w:t>Net sales and revenue</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28,751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5,694</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34,481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3,252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37,715</w:t>
            </w:r>
          </w:p>
        </w:tc>
      </w:tr>
      <w:tr>
        <w:trPr>
          <w:trHeight w:val="263"/>
        </w:trPr>
        <w:tc>
          <w:tcPr>
            <w:tcW w:w="3100" w:type="dxa"/>
            <w:vAlign w:val="bottom"/>
          </w:tcPr>
          <w:p>
            <w:pPr>
              <w:ind w:left="40"/>
              <w:spacing w:after="0"/>
              <w:rPr>
                <w:sz w:val="20"/>
                <w:szCs w:val="20"/>
                <w:color w:val="auto"/>
              </w:rPr>
            </w:pPr>
            <w:r>
              <w:rPr>
                <w:rFonts w:ascii="Arial" w:cs="Arial" w:eastAsia="Arial" w:hAnsi="Arial"/>
                <w:sz w:val="11"/>
                <w:szCs w:val="11"/>
                <w:color w:val="auto"/>
              </w:rPr>
              <w:t>Expenditures for property</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8"/>
              <w:spacing w:after="0"/>
              <w:rPr>
                <w:sz w:val="20"/>
                <w:szCs w:val="20"/>
                <w:color w:val="auto"/>
              </w:rPr>
            </w:pPr>
            <w:r>
              <w:rPr>
                <w:rFonts w:ascii="Arial" w:cs="Arial" w:eastAsia="Arial" w:hAnsi="Arial"/>
                <w:sz w:val="13"/>
                <w:szCs w:val="13"/>
                <w:color w:val="auto"/>
              </w:rPr>
              <w:t>1,846</w:t>
            </w:r>
          </w:p>
        </w:tc>
        <w:tc>
          <w:tcPr>
            <w:tcW w:w="120" w:type="dxa"/>
            <w:vAlign w:val="bottom"/>
          </w:tcPr>
          <w:p>
            <w:pPr>
              <w:spacing w:after="0"/>
              <w:rPr>
                <w:sz w:val="22"/>
                <w:szCs w:val="22"/>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58"/>
              <w:spacing w:after="0"/>
              <w:rPr>
                <w:sz w:val="20"/>
                <w:szCs w:val="20"/>
                <w:color w:val="auto"/>
              </w:rPr>
            </w:pPr>
            <w:r>
              <w:rPr>
                <w:rFonts w:ascii="Arial" w:cs="Arial" w:eastAsia="Arial" w:hAnsi="Arial"/>
                <w:sz w:val="13"/>
                <w:szCs w:val="13"/>
                <w:color w:val="auto"/>
              </w:rPr>
              <w:t>195</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40"/>
              <w:spacing w:after="0"/>
              <w:rPr>
                <w:sz w:val="20"/>
                <w:szCs w:val="20"/>
                <w:color w:val="auto"/>
              </w:rPr>
            </w:pPr>
            <w:r>
              <w:rPr>
                <w:rFonts w:ascii="Arial" w:cs="Arial" w:eastAsia="Arial" w:hAnsi="Arial"/>
                <w:sz w:val="13"/>
                <w:szCs w:val="13"/>
                <w:color w:val="auto"/>
              </w:rPr>
              <w:t>2,049</w:t>
            </w:r>
          </w:p>
        </w:tc>
        <w:tc>
          <w:tcPr>
            <w:tcW w:w="120" w:type="dxa"/>
            <w:vAlign w:val="bottom"/>
          </w:tcPr>
          <w:p>
            <w:pPr>
              <w:spacing w:after="0"/>
              <w:rPr>
                <w:sz w:val="22"/>
                <w:szCs w:val="22"/>
                <w:color w:val="auto"/>
              </w:rPr>
            </w:pPr>
          </w:p>
        </w:tc>
        <w:tc>
          <w:tcPr>
            <w:tcW w:w="2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57"/>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40"/>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2,100</w:t>
            </w:r>
          </w:p>
        </w:tc>
      </w:tr>
      <w:tr>
        <w:trPr>
          <w:trHeight w:val="277"/>
        </w:trPr>
        <w:tc>
          <w:tcPr>
            <w:tcW w:w="3100" w:type="dxa"/>
            <w:vAlign w:val="bottom"/>
            <w:shd w:val="clear" w:color="auto" w:fill="CCEEFF"/>
          </w:tcPr>
          <w:p>
            <w:pPr>
              <w:ind w:left="40"/>
              <w:spacing w:after="0"/>
              <w:rPr>
                <w:sz w:val="20"/>
                <w:szCs w:val="20"/>
                <w:color w:val="auto"/>
              </w:rPr>
            </w:pPr>
            <w:r>
              <w:rPr>
                <w:rFonts w:ascii="Arial" w:cs="Arial" w:eastAsia="Arial" w:hAnsi="Arial"/>
                <w:sz w:val="11"/>
                <w:szCs w:val="11"/>
                <w:color w:val="auto"/>
              </w:rPr>
              <w:t>Depreciation and amortization</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1,155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173</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1,338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1,816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3,154</w:t>
            </w:r>
          </w:p>
        </w:tc>
      </w:tr>
      <w:tr>
        <w:trPr>
          <w:trHeight w:val="263"/>
        </w:trPr>
        <w:tc>
          <w:tcPr>
            <w:tcW w:w="3100" w:type="dxa"/>
            <w:vAlign w:val="bottom"/>
          </w:tcPr>
          <w:p>
            <w:pPr>
              <w:ind w:left="40"/>
              <w:spacing w:after="0"/>
              <w:rPr>
                <w:sz w:val="20"/>
                <w:szCs w:val="20"/>
                <w:color w:val="auto"/>
              </w:rPr>
            </w:pPr>
            <w:r>
              <w:rPr>
                <w:rFonts w:ascii="Arial" w:cs="Arial" w:eastAsia="Arial" w:hAnsi="Arial"/>
                <w:sz w:val="11"/>
                <w:szCs w:val="11"/>
                <w:color w:val="auto"/>
              </w:rPr>
              <w:t>Impairment charges</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8"/>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22"/>
                <w:szCs w:val="22"/>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58"/>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40"/>
              <w:spacing w:after="0"/>
              <w:rPr>
                <w:sz w:val="20"/>
                <w:szCs w:val="20"/>
                <w:color w:val="auto"/>
              </w:rPr>
            </w:pPr>
            <w:r>
              <w:rPr>
                <w:rFonts w:ascii="Arial" w:cs="Arial" w:eastAsia="Arial" w:hAnsi="Arial"/>
                <w:sz w:val="13"/>
                <w:szCs w:val="13"/>
                <w:color w:val="auto"/>
              </w:rPr>
              <w:t>23</w:t>
            </w:r>
          </w:p>
        </w:tc>
        <w:tc>
          <w:tcPr>
            <w:tcW w:w="120" w:type="dxa"/>
            <w:vAlign w:val="bottom"/>
          </w:tcPr>
          <w:p>
            <w:pPr>
              <w:spacing w:after="0"/>
              <w:rPr>
                <w:sz w:val="22"/>
                <w:szCs w:val="22"/>
                <w:color w:val="auto"/>
              </w:rPr>
            </w:pPr>
          </w:p>
        </w:tc>
        <w:tc>
          <w:tcPr>
            <w:tcW w:w="2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23</w:t>
            </w:r>
          </w:p>
        </w:tc>
      </w:tr>
      <w:tr>
        <w:trPr>
          <w:trHeight w:val="277"/>
        </w:trPr>
        <w:tc>
          <w:tcPr>
            <w:tcW w:w="3100" w:type="dxa"/>
            <w:vAlign w:val="bottom"/>
            <w:shd w:val="clear" w:color="auto" w:fill="CCEEFF"/>
          </w:tcPr>
          <w:p>
            <w:pPr>
              <w:ind w:left="40"/>
              <w:spacing w:after="0"/>
              <w:rPr>
                <w:sz w:val="20"/>
                <w:szCs w:val="20"/>
                <w:color w:val="auto"/>
              </w:rPr>
            </w:pPr>
            <w:r>
              <w:rPr>
                <w:rFonts w:ascii="Arial" w:cs="Arial" w:eastAsia="Arial" w:hAnsi="Arial"/>
                <w:sz w:val="11"/>
                <w:szCs w:val="11"/>
                <w:color w:val="auto"/>
              </w:rPr>
              <w:t>Equity income(a)</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503</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503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44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547</w:t>
            </w:r>
          </w:p>
        </w:tc>
      </w:tr>
      <w:tr>
        <w:trPr>
          <w:trHeight w:val="455"/>
        </w:trPr>
        <w:tc>
          <w:tcPr>
            <w:tcW w:w="3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Total</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GM</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59"/>
        </w:trPr>
        <w:tc>
          <w:tcPr>
            <w:tcW w:w="3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GMNA</w:t>
            </w:r>
          </w:p>
        </w:tc>
        <w:tc>
          <w:tcPr>
            <w:tcW w:w="200" w:type="dxa"/>
            <w:vAlign w:val="bottom"/>
          </w:tcPr>
          <w:p>
            <w:pPr>
              <w:spacing w:after="0"/>
              <w:rPr>
                <w:sz w:val="13"/>
                <w:szCs w:val="13"/>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GMI</w:t>
            </w:r>
          </w:p>
        </w:tc>
        <w:tc>
          <w:tcPr>
            <w:tcW w:w="120" w:type="dxa"/>
            <w:vAlign w:val="bottom"/>
          </w:tcPr>
          <w:p>
            <w:pPr>
              <w:spacing w:after="0"/>
              <w:rPr>
                <w:sz w:val="13"/>
                <w:szCs w:val="13"/>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Corporate</w:t>
            </w:r>
          </w:p>
        </w:tc>
        <w:tc>
          <w:tcPr>
            <w:tcW w:w="12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Automotive</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GM Cruise</w:t>
            </w:r>
          </w:p>
        </w:tc>
        <w:tc>
          <w:tcPr>
            <w:tcW w:w="140" w:type="dxa"/>
            <w:vAlign w:val="bottom"/>
          </w:tcPr>
          <w:p>
            <w:pPr>
              <w:spacing w:after="0"/>
              <w:rPr>
                <w:sz w:val="13"/>
                <w:szCs w:val="13"/>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Financial</w:t>
            </w:r>
          </w:p>
        </w:tc>
        <w:tc>
          <w:tcPr>
            <w:tcW w:w="100" w:type="dxa"/>
            <w:vAlign w:val="bottom"/>
          </w:tcPr>
          <w:p>
            <w:pPr>
              <w:spacing w:after="0"/>
              <w:rPr>
                <w:sz w:val="13"/>
                <w:szCs w:val="13"/>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60" w:type="dxa"/>
            <w:vAlign w:val="bottom"/>
          </w:tcPr>
          <w:p>
            <w:pPr>
              <w:spacing w:after="0"/>
              <w:rPr>
                <w:sz w:val="13"/>
                <w:szCs w:val="13"/>
                <w:color w:val="auto"/>
              </w:rPr>
            </w:pPr>
          </w:p>
        </w:tc>
        <w:tc>
          <w:tcPr>
            <w:tcW w:w="620" w:type="dxa"/>
            <w:vAlign w:val="bottom"/>
          </w:tcPr>
          <w:p>
            <w:pPr>
              <w:jc w:val="right"/>
              <w:ind w:right="198"/>
              <w:spacing w:after="0"/>
              <w:rPr>
                <w:sz w:val="20"/>
                <w:szCs w:val="20"/>
                <w:color w:val="auto"/>
              </w:rPr>
            </w:pPr>
            <w:r>
              <w:rPr>
                <w:rFonts w:ascii="Arial" w:cs="Arial" w:eastAsia="Arial" w:hAnsi="Arial"/>
                <w:sz w:val="11"/>
                <w:szCs w:val="11"/>
                <w:b w:val="1"/>
                <w:bCs w:val="1"/>
                <w:color w:val="auto"/>
              </w:rPr>
              <w:t>Total</w:t>
            </w:r>
          </w:p>
        </w:tc>
      </w:tr>
      <w:tr>
        <w:trPr>
          <w:trHeight w:val="263"/>
        </w:trPr>
        <w:tc>
          <w:tcPr>
            <w:tcW w:w="3100" w:type="dxa"/>
            <w:vAlign w:val="bottom"/>
          </w:tcPr>
          <w:p>
            <w:pPr>
              <w:ind w:left="40"/>
              <w:spacing w:after="0"/>
              <w:rPr>
                <w:sz w:val="20"/>
                <w:szCs w:val="20"/>
                <w:color w:val="auto"/>
              </w:rPr>
            </w:pPr>
            <w:r>
              <w:rPr>
                <w:rFonts w:ascii="Arial" w:cs="Arial" w:eastAsia="Arial" w:hAnsi="Arial"/>
                <w:sz w:val="11"/>
                <w:szCs w:val="11"/>
                <w:b w:val="1"/>
                <w:bCs w:val="1"/>
                <w:color w:val="auto"/>
              </w:rPr>
              <w:t>Year Ended December 31, 2018</w:t>
            </w:r>
          </w:p>
        </w:tc>
        <w:tc>
          <w:tcPr>
            <w:tcW w:w="18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r>
      <w:tr>
        <w:trPr>
          <w:trHeight w:val="223"/>
        </w:trPr>
        <w:tc>
          <w:tcPr>
            <w:tcW w:w="3100" w:type="dxa"/>
            <w:vAlign w:val="bottom"/>
            <w:shd w:val="clear" w:color="auto" w:fill="CCEEFF"/>
          </w:tcPr>
          <w:p>
            <w:pPr>
              <w:ind w:left="40"/>
              <w:spacing w:after="0"/>
              <w:rPr>
                <w:sz w:val="20"/>
                <w:szCs w:val="20"/>
                <w:color w:val="auto"/>
              </w:rPr>
            </w:pPr>
            <w:r>
              <w:rPr>
                <w:rFonts w:ascii="Arial" w:cs="Arial" w:eastAsia="Arial" w:hAnsi="Arial"/>
                <w:sz w:val="11"/>
                <w:szCs w:val="11"/>
                <w:color w:val="auto"/>
              </w:rPr>
              <w:t>Net sales and revenue</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113,792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19,148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133,143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14,016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147,049</w:t>
            </w:r>
          </w:p>
        </w:tc>
      </w:tr>
      <w:tr>
        <w:trPr>
          <w:trHeight w:val="209"/>
        </w:trPr>
        <w:tc>
          <w:tcPr>
            <w:tcW w:w="3100" w:type="dxa"/>
            <w:vAlign w:val="bottom"/>
          </w:tcPr>
          <w:p>
            <w:pPr>
              <w:ind w:left="40"/>
              <w:spacing w:after="0"/>
              <w:rPr>
                <w:sz w:val="20"/>
                <w:szCs w:val="20"/>
                <w:color w:val="auto"/>
              </w:rPr>
            </w:pPr>
            <w:r>
              <w:rPr>
                <w:rFonts w:ascii="Arial" w:cs="Arial" w:eastAsia="Arial" w:hAnsi="Arial"/>
                <w:sz w:val="11"/>
                <w:szCs w:val="11"/>
                <w:color w:val="auto"/>
              </w:rPr>
              <w:t>Expenditures for property</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8"/>
              <w:spacing w:after="0"/>
              <w:rPr>
                <w:sz w:val="20"/>
                <w:szCs w:val="20"/>
                <w:color w:val="auto"/>
              </w:rPr>
            </w:pPr>
            <w:r>
              <w:rPr>
                <w:rFonts w:ascii="Arial" w:cs="Arial" w:eastAsia="Arial" w:hAnsi="Arial"/>
                <w:sz w:val="13"/>
                <w:szCs w:val="13"/>
                <w:color w:val="auto"/>
              </w:rPr>
              <w:t>7,784</w:t>
            </w:r>
          </w:p>
        </w:tc>
        <w:tc>
          <w:tcPr>
            <w:tcW w:w="120" w:type="dxa"/>
            <w:vAlign w:val="bottom"/>
          </w:tcPr>
          <w:p>
            <w:pPr>
              <w:spacing w:after="0"/>
              <w:rPr>
                <w:sz w:val="18"/>
                <w:szCs w:val="18"/>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58"/>
              <w:spacing w:after="0"/>
              <w:rPr>
                <w:sz w:val="20"/>
                <w:szCs w:val="20"/>
                <w:color w:val="auto"/>
              </w:rPr>
            </w:pPr>
            <w:r>
              <w:rPr>
                <w:rFonts w:ascii="Arial" w:cs="Arial" w:eastAsia="Arial" w:hAnsi="Arial"/>
                <w:sz w:val="13"/>
                <w:szCs w:val="13"/>
                <w:color w:val="auto"/>
              </w:rPr>
              <w:t>883</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9"/>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40"/>
              <w:spacing w:after="0"/>
              <w:rPr>
                <w:sz w:val="20"/>
                <w:szCs w:val="20"/>
                <w:color w:val="auto"/>
              </w:rPr>
            </w:pPr>
            <w:r>
              <w:rPr>
                <w:rFonts w:ascii="Arial" w:cs="Arial" w:eastAsia="Arial" w:hAnsi="Arial"/>
                <w:sz w:val="13"/>
                <w:szCs w:val="13"/>
                <w:color w:val="auto"/>
              </w:rPr>
              <w:t>8,686</w:t>
            </w:r>
          </w:p>
        </w:tc>
        <w:tc>
          <w:tcPr>
            <w:tcW w:w="120" w:type="dxa"/>
            <w:vAlign w:val="bottom"/>
          </w:tcPr>
          <w:p>
            <w:pPr>
              <w:spacing w:after="0"/>
              <w:rPr>
                <w:sz w:val="18"/>
                <w:szCs w:val="18"/>
                <w:color w:val="auto"/>
              </w:rPr>
            </w:pPr>
          </w:p>
        </w:tc>
        <w:tc>
          <w:tcPr>
            <w:tcW w:w="2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57"/>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40"/>
              <w:spacing w:after="0"/>
              <w:rPr>
                <w:sz w:val="20"/>
                <w:szCs w:val="20"/>
                <w:color w:val="auto"/>
              </w:rPr>
            </w:pPr>
            <w:r>
              <w:rPr>
                <w:rFonts w:ascii="Arial" w:cs="Arial" w:eastAsia="Arial" w:hAnsi="Arial"/>
                <w:sz w:val="13"/>
                <w:szCs w:val="13"/>
                <w:color w:val="auto"/>
              </w:rPr>
              <w:t>60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8,761</w:t>
            </w:r>
          </w:p>
        </w:tc>
      </w:tr>
      <w:tr>
        <w:trPr>
          <w:trHeight w:val="223"/>
        </w:trPr>
        <w:tc>
          <w:tcPr>
            <w:tcW w:w="3100" w:type="dxa"/>
            <w:vAlign w:val="bottom"/>
            <w:shd w:val="clear" w:color="auto" w:fill="CCEEFF"/>
          </w:tcPr>
          <w:p>
            <w:pPr>
              <w:ind w:left="40"/>
              <w:spacing w:after="0"/>
              <w:rPr>
                <w:sz w:val="20"/>
                <w:szCs w:val="20"/>
                <w:color w:val="auto"/>
              </w:rPr>
            </w:pPr>
            <w:r>
              <w:rPr>
                <w:rFonts w:ascii="Arial" w:cs="Arial" w:eastAsia="Arial" w:hAnsi="Arial"/>
                <w:sz w:val="11"/>
                <w:szCs w:val="11"/>
                <w:color w:val="auto"/>
              </w:rPr>
              <w:t>Depreciation and amortization</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4,995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562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5,604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7,531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13,142</w:t>
            </w:r>
          </w:p>
        </w:tc>
      </w:tr>
      <w:tr>
        <w:trPr>
          <w:trHeight w:val="209"/>
        </w:trPr>
        <w:tc>
          <w:tcPr>
            <w:tcW w:w="3100" w:type="dxa"/>
            <w:vAlign w:val="bottom"/>
          </w:tcPr>
          <w:p>
            <w:pPr>
              <w:ind w:left="40"/>
              <w:spacing w:after="0"/>
              <w:rPr>
                <w:sz w:val="20"/>
                <w:szCs w:val="20"/>
                <w:color w:val="auto"/>
              </w:rPr>
            </w:pPr>
            <w:r>
              <w:rPr>
                <w:rFonts w:ascii="Arial" w:cs="Arial" w:eastAsia="Arial" w:hAnsi="Arial"/>
                <w:sz w:val="11"/>
                <w:szCs w:val="11"/>
                <w:color w:val="auto"/>
              </w:rPr>
              <w:t>Impairment charges</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8"/>
              <w:spacing w:after="0"/>
              <w:rPr>
                <w:sz w:val="20"/>
                <w:szCs w:val="20"/>
                <w:color w:val="auto"/>
              </w:rPr>
            </w:pPr>
            <w:r>
              <w:rPr>
                <w:rFonts w:ascii="Arial" w:cs="Arial" w:eastAsia="Arial" w:hAnsi="Arial"/>
                <w:sz w:val="13"/>
                <w:szCs w:val="13"/>
                <w:color w:val="auto"/>
              </w:rPr>
              <w:t>55</w:t>
            </w:r>
          </w:p>
        </w:tc>
        <w:tc>
          <w:tcPr>
            <w:tcW w:w="120" w:type="dxa"/>
            <w:vAlign w:val="bottom"/>
          </w:tcPr>
          <w:p>
            <w:pPr>
              <w:spacing w:after="0"/>
              <w:rPr>
                <w:sz w:val="18"/>
                <w:szCs w:val="18"/>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58"/>
              <w:spacing w:after="0"/>
              <w:rPr>
                <w:sz w:val="20"/>
                <w:szCs w:val="20"/>
                <w:color w:val="auto"/>
              </w:rPr>
            </w:pPr>
            <w:r>
              <w:rPr>
                <w:rFonts w:ascii="Arial" w:cs="Arial" w:eastAsia="Arial" w:hAnsi="Arial"/>
                <w:sz w:val="13"/>
                <w:szCs w:val="13"/>
                <w:color w:val="auto"/>
              </w:rPr>
              <w:t>466</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40"/>
              <w:spacing w:after="0"/>
              <w:rPr>
                <w:sz w:val="20"/>
                <w:szCs w:val="20"/>
                <w:color w:val="auto"/>
              </w:rPr>
            </w:pPr>
            <w:r>
              <w:rPr>
                <w:rFonts w:ascii="Arial" w:cs="Arial" w:eastAsia="Arial" w:hAnsi="Arial"/>
                <w:sz w:val="13"/>
                <w:szCs w:val="13"/>
                <w:color w:val="auto"/>
              </w:rPr>
              <w:t>527</w:t>
            </w:r>
          </w:p>
        </w:tc>
        <w:tc>
          <w:tcPr>
            <w:tcW w:w="120" w:type="dxa"/>
            <w:vAlign w:val="bottom"/>
          </w:tcPr>
          <w:p>
            <w:pPr>
              <w:spacing w:after="0"/>
              <w:rPr>
                <w:sz w:val="18"/>
                <w:szCs w:val="18"/>
                <w:color w:val="auto"/>
              </w:rPr>
            </w:pPr>
          </w:p>
        </w:tc>
        <w:tc>
          <w:tcPr>
            <w:tcW w:w="2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527</w:t>
            </w:r>
          </w:p>
        </w:tc>
      </w:tr>
      <w:tr>
        <w:trPr>
          <w:trHeight w:val="223"/>
        </w:trPr>
        <w:tc>
          <w:tcPr>
            <w:tcW w:w="3100" w:type="dxa"/>
            <w:vAlign w:val="bottom"/>
            <w:shd w:val="clear" w:color="auto" w:fill="CCEEFF"/>
          </w:tcPr>
          <w:p>
            <w:pPr>
              <w:ind w:left="40"/>
              <w:spacing w:after="0"/>
              <w:rPr>
                <w:sz w:val="20"/>
                <w:szCs w:val="20"/>
                <w:color w:val="auto"/>
              </w:rPr>
            </w:pPr>
            <w:r>
              <w:rPr>
                <w:rFonts w:ascii="Arial" w:cs="Arial" w:eastAsia="Arial" w:hAnsi="Arial"/>
                <w:sz w:val="11"/>
                <w:szCs w:val="11"/>
                <w:color w:val="auto"/>
              </w:rPr>
              <w:t>Equity income(a)</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1,972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1,980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183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2,163</w:t>
            </w:r>
          </w:p>
        </w:tc>
      </w:tr>
      <w:tr>
        <w:trPr>
          <w:trHeight w:val="455"/>
        </w:trPr>
        <w:tc>
          <w:tcPr>
            <w:tcW w:w="3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Total</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GM</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59"/>
        </w:trPr>
        <w:tc>
          <w:tcPr>
            <w:tcW w:w="3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GMNA</w:t>
            </w:r>
          </w:p>
        </w:tc>
        <w:tc>
          <w:tcPr>
            <w:tcW w:w="200" w:type="dxa"/>
            <w:vAlign w:val="bottom"/>
          </w:tcPr>
          <w:p>
            <w:pPr>
              <w:spacing w:after="0"/>
              <w:rPr>
                <w:sz w:val="13"/>
                <w:szCs w:val="13"/>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GMI</w:t>
            </w:r>
          </w:p>
        </w:tc>
        <w:tc>
          <w:tcPr>
            <w:tcW w:w="120" w:type="dxa"/>
            <w:vAlign w:val="bottom"/>
          </w:tcPr>
          <w:p>
            <w:pPr>
              <w:spacing w:after="0"/>
              <w:rPr>
                <w:sz w:val="13"/>
                <w:szCs w:val="13"/>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Corporate</w:t>
            </w:r>
          </w:p>
        </w:tc>
        <w:tc>
          <w:tcPr>
            <w:tcW w:w="12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Automotive</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GM Cruise</w:t>
            </w:r>
          </w:p>
        </w:tc>
        <w:tc>
          <w:tcPr>
            <w:tcW w:w="140" w:type="dxa"/>
            <w:vAlign w:val="bottom"/>
          </w:tcPr>
          <w:p>
            <w:pPr>
              <w:spacing w:after="0"/>
              <w:rPr>
                <w:sz w:val="13"/>
                <w:szCs w:val="13"/>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Financial</w:t>
            </w:r>
          </w:p>
        </w:tc>
        <w:tc>
          <w:tcPr>
            <w:tcW w:w="100" w:type="dxa"/>
            <w:vAlign w:val="bottom"/>
          </w:tcPr>
          <w:p>
            <w:pPr>
              <w:spacing w:after="0"/>
              <w:rPr>
                <w:sz w:val="13"/>
                <w:szCs w:val="13"/>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60" w:type="dxa"/>
            <w:vAlign w:val="bottom"/>
          </w:tcPr>
          <w:p>
            <w:pPr>
              <w:spacing w:after="0"/>
              <w:rPr>
                <w:sz w:val="13"/>
                <w:szCs w:val="13"/>
                <w:color w:val="auto"/>
              </w:rPr>
            </w:pPr>
          </w:p>
        </w:tc>
        <w:tc>
          <w:tcPr>
            <w:tcW w:w="620" w:type="dxa"/>
            <w:vAlign w:val="bottom"/>
          </w:tcPr>
          <w:p>
            <w:pPr>
              <w:jc w:val="right"/>
              <w:ind w:right="198"/>
              <w:spacing w:after="0"/>
              <w:rPr>
                <w:sz w:val="20"/>
                <w:szCs w:val="20"/>
                <w:color w:val="auto"/>
              </w:rPr>
            </w:pPr>
            <w:r>
              <w:rPr>
                <w:rFonts w:ascii="Arial" w:cs="Arial" w:eastAsia="Arial" w:hAnsi="Arial"/>
                <w:sz w:val="11"/>
                <w:szCs w:val="11"/>
                <w:b w:val="1"/>
                <w:bCs w:val="1"/>
                <w:color w:val="auto"/>
              </w:rPr>
              <w:t>Total</w:t>
            </w:r>
          </w:p>
        </w:tc>
      </w:tr>
      <w:tr>
        <w:trPr>
          <w:trHeight w:val="263"/>
        </w:trPr>
        <w:tc>
          <w:tcPr>
            <w:tcW w:w="3100" w:type="dxa"/>
            <w:vAlign w:val="bottom"/>
          </w:tcPr>
          <w:p>
            <w:pPr>
              <w:ind w:left="40"/>
              <w:spacing w:after="0"/>
              <w:rPr>
                <w:sz w:val="20"/>
                <w:szCs w:val="20"/>
                <w:color w:val="auto"/>
              </w:rPr>
            </w:pPr>
            <w:r>
              <w:rPr>
                <w:rFonts w:ascii="Arial" w:cs="Arial" w:eastAsia="Arial" w:hAnsi="Arial"/>
                <w:sz w:val="11"/>
                <w:szCs w:val="11"/>
                <w:b w:val="1"/>
                <w:bCs w:val="1"/>
                <w:color w:val="auto"/>
              </w:rPr>
              <w:t>Year Ended December 31, 2017</w:t>
            </w:r>
          </w:p>
        </w:tc>
        <w:tc>
          <w:tcPr>
            <w:tcW w:w="18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r>
      <w:tr>
        <w:trPr>
          <w:trHeight w:val="223"/>
        </w:trPr>
        <w:tc>
          <w:tcPr>
            <w:tcW w:w="3100" w:type="dxa"/>
            <w:vAlign w:val="bottom"/>
            <w:shd w:val="clear" w:color="auto" w:fill="CCEEFF"/>
          </w:tcPr>
          <w:p>
            <w:pPr>
              <w:ind w:left="40"/>
              <w:spacing w:after="0"/>
              <w:rPr>
                <w:sz w:val="20"/>
                <w:szCs w:val="20"/>
                <w:color w:val="auto"/>
              </w:rPr>
            </w:pPr>
            <w:r>
              <w:rPr>
                <w:rFonts w:ascii="Arial" w:cs="Arial" w:eastAsia="Arial" w:hAnsi="Arial"/>
                <w:sz w:val="11"/>
                <w:szCs w:val="11"/>
                <w:color w:val="auto"/>
              </w:rPr>
              <w:t>Net sales and revenue</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111,345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21,920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133,607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12,151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145,588</w:t>
            </w:r>
          </w:p>
        </w:tc>
      </w:tr>
      <w:tr>
        <w:trPr>
          <w:trHeight w:val="209"/>
        </w:trPr>
        <w:tc>
          <w:tcPr>
            <w:tcW w:w="3100" w:type="dxa"/>
            <w:vAlign w:val="bottom"/>
          </w:tcPr>
          <w:p>
            <w:pPr>
              <w:ind w:left="40"/>
              <w:spacing w:after="0"/>
              <w:rPr>
                <w:sz w:val="20"/>
                <w:szCs w:val="20"/>
                <w:color w:val="auto"/>
              </w:rPr>
            </w:pPr>
            <w:r>
              <w:rPr>
                <w:rFonts w:ascii="Arial" w:cs="Arial" w:eastAsia="Arial" w:hAnsi="Arial"/>
                <w:sz w:val="11"/>
                <w:szCs w:val="11"/>
                <w:color w:val="auto"/>
              </w:rPr>
              <w:t>Expenditures for property</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8"/>
              <w:spacing w:after="0"/>
              <w:rPr>
                <w:sz w:val="20"/>
                <w:szCs w:val="20"/>
                <w:color w:val="auto"/>
              </w:rPr>
            </w:pPr>
            <w:r>
              <w:rPr>
                <w:rFonts w:ascii="Arial" w:cs="Arial" w:eastAsia="Arial" w:hAnsi="Arial"/>
                <w:sz w:val="13"/>
                <w:szCs w:val="13"/>
                <w:color w:val="auto"/>
              </w:rPr>
              <w:t>7,704</w:t>
            </w:r>
          </w:p>
        </w:tc>
        <w:tc>
          <w:tcPr>
            <w:tcW w:w="120" w:type="dxa"/>
            <w:vAlign w:val="bottom"/>
          </w:tcPr>
          <w:p>
            <w:pPr>
              <w:spacing w:after="0"/>
              <w:rPr>
                <w:sz w:val="18"/>
                <w:szCs w:val="18"/>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58"/>
              <w:spacing w:after="0"/>
              <w:rPr>
                <w:sz w:val="20"/>
                <w:szCs w:val="20"/>
                <w:color w:val="auto"/>
              </w:rPr>
            </w:pPr>
            <w:r>
              <w:rPr>
                <w:rFonts w:ascii="Arial" w:cs="Arial" w:eastAsia="Arial" w:hAnsi="Arial"/>
                <w:sz w:val="13"/>
                <w:szCs w:val="13"/>
                <w:color w:val="auto"/>
              </w:rPr>
              <w:t>607</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40"/>
              <w:spacing w:after="0"/>
              <w:rPr>
                <w:sz w:val="20"/>
                <w:szCs w:val="20"/>
                <w:color w:val="auto"/>
              </w:rPr>
            </w:pPr>
            <w:r>
              <w:rPr>
                <w:rFonts w:ascii="Arial" w:cs="Arial" w:eastAsia="Arial" w:hAnsi="Arial"/>
                <w:sz w:val="13"/>
                <w:szCs w:val="13"/>
                <w:color w:val="auto"/>
              </w:rPr>
              <w:t>8,325</w:t>
            </w:r>
          </w:p>
        </w:tc>
        <w:tc>
          <w:tcPr>
            <w:tcW w:w="120" w:type="dxa"/>
            <w:vAlign w:val="bottom"/>
          </w:tcPr>
          <w:p>
            <w:pPr>
              <w:spacing w:after="0"/>
              <w:rPr>
                <w:sz w:val="18"/>
                <w:szCs w:val="18"/>
                <w:color w:val="auto"/>
              </w:rPr>
            </w:pPr>
          </w:p>
        </w:tc>
        <w:tc>
          <w:tcPr>
            <w:tcW w:w="2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57"/>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40"/>
              <w:spacing w:after="0"/>
              <w:rPr>
                <w:sz w:val="20"/>
                <w:szCs w:val="20"/>
                <w:color w:val="auto"/>
              </w:rPr>
            </w:pPr>
            <w:r>
              <w:rPr>
                <w:rFonts w:ascii="Arial" w:cs="Arial" w:eastAsia="Arial" w:hAnsi="Arial"/>
                <w:sz w:val="13"/>
                <w:szCs w:val="13"/>
                <w:color w:val="auto"/>
              </w:rPr>
              <w:t>94</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8,453</w:t>
            </w:r>
          </w:p>
        </w:tc>
      </w:tr>
      <w:tr>
        <w:trPr>
          <w:trHeight w:val="223"/>
        </w:trPr>
        <w:tc>
          <w:tcPr>
            <w:tcW w:w="3100" w:type="dxa"/>
            <w:vAlign w:val="bottom"/>
            <w:shd w:val="clear" w:color="auto" w:fill="CCEEFF"/>
          </w:tcPr>
          <w:p>
            <w:pPr>
              <w:ind w:left="40"/>
              <w:spacing w:after="0"/>
              <w:rPr>
                <w:sz w:val="20"/>
                <w:szCs w:val="20"/>
                <w:color w:val="auto"/>
              </w:rPr>
            </w:pPr>
            <w:r>
              <w:rPr>
                <w:rFonts w:ascii="Arial" w:cs="Arial" w:eastAsia="Arial" w:hAnsi="Arial"/>
                <w:sz w:val="11"/>
                <w:szCs w:val="11"/>
                <w:color w:val="auto"/>
              </w:rPr>
              <w:t>Depreciation and amortization</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4,654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708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5,393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6,573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11,967</w:t>
            </w:r>
          </w:p>
        </w:tc>
      </w:tr>
      <w:tr>
        <w:trPr>
          <w:trHeight w:val="209"/>
        </w:trPr>
        <w:tc>
          <w:tcPr>
            <w:tcW w:w="3100" w:type="dxa"/>
            <w:vAlign w:val="bottom"/>
          </w:tcPr>
          <w:p>
            <w:pPr>
              <w:ind w:left="40"/>
              <w:spacing w:after="0"/>
              <w:rPr>
                <w:sz w:val="20"/>
                <w:szCs w:val="20"/>
                <w:color w:val="auto"/>
              </w:rPr>
            </w:pPr>
            <w:r>
              <w:rPr>
                <w:rFonts w:ascii="Arial" w:cs="Arial" w:eastAsia="Arial" w:hAnsi="Arial"/>
                <w:sz w:val="11"/>
                <w:szCs w:val="11"/>
                <w:color w:val="auto"/>
              </w:rPr>
              <w:t>Impairment charges</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8"/>
              <w:spacing w:after="0"/>
              <w:rPr>
                <w:sz w:val="20"/>
                <w:szCs w:val="20"/>
                <w:color w:val="auto"/>
              </w:rPr>
            </w:pPr>
            <w:r>
              <w:rPr>
                <w:rFonts w:ascii="Arial" w:cs="Arial" w:eastAsia="Arial" w:hAnsi="Arial"/>
                <w:sz w:val="13"/>
                <w:szCs w:val="13"/>
                <w:color w:val="auto"/>
              </w:rPr>
              <w:t>78</w:t>
            </w:r>
          </w:p>
        </w:tc>
        <w:tc>
          <w:tcPr>
            <w:tcW w:w="120" w:type="dxa"/>
            <w:vAlign w:val="bottom"/>
          </w:tcPr>
          <w:p>
            <w:pPr>
              <w:spacing w:after="0"/>
              <w:rPr>
                <w:sz w:val="18"/>
                <w:szCs w:val="18"/>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58"/>
              <w:spacing w:after="0"/>
              <w:rPr>
                <w:sz w:val="20"/>
                <w:szCs w:val="20"/>
                <w:color w:val="auto"/>
              </w:rPr>
            </w:pPr>
            <w:r>
              <w:rPr>
                <w:rFonts w:ascii="Arial" w:cs="Arial" w:eastAsia="Arial" w:hAnsi="Arial"/>
                <w:sz w:val="13"/>
                <w:szCs w:val="13"/>
                <w:color w:val="auto"/>
              </w:rPr>
              <w:t>211</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40"/>
              <w:spacing w:after="0"/>
              <w:rPr>
                <w:sz w:val="20"/>
                <w:szCs w:val="20"/>
                <w:color w:val="auto"/>
              </w:rPr>
            </w:pPr>
            <w:r>
              <w:rPr>
                <w:rFonts w:ascii="Arial" w:cs="Arial" w:eastAsia="Arial" w:hAnsi="Arial"/>
                <w:sz w:val="13"/>
                <w:szCs w:val="13"/>
                <w:color w:val="auto"/>
              </w:rPr>
              <w:t>294</w:t>
            </w:r>
          </w:p>
        </w:tc>
        <w:tc>
          <w:tcPr>
            <w:tcW w:w="120" w:type="dxa"/>
            <w:vAlign w:val="bottom"/>
          </w:tcPr>
          <w:p>
            <w:pPr>
              <w:spacing w:after="0"/>
              <w:rPr>
                <w:sz w:val="18"/>
                <w:szCs w:val="18"/>
                <w:color w:val="auto"/>
              </w:rPr>
            </w:pPr>
          </w:p>
        </w:tc>
        <w:tc>
          <w:tcPr>
            <w:tcW w:w="2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294</w:t>
            </w:r>
          </w:p>
        </w:tc>
      </w:tr>
      <w:tr>
        <w:trPr>
          <w:trHeight w:val="223"/>
        </w:trPr>
        <w:tc>
          <w:tcPr>
            <w:tcW w:w="3100" w:type="dxa"/>
            <w:vAlign w:val="bottom"/>
            <w:shd w:val="clear" w:color="auto" w:fill="CCEEFF"/>
          </w:tcPr>
          <w:p>
            <w:pPr>
              <w:ind w:left="40"/>
              <w:spacing w:after="0"/>
              <w:rPr>
                <w:sz w:val="20"/>
                <w:szCs w:val="20"/>
                <w:color w:val="auto"/>
              </w:rPr>
            </w:pPr>
            <w:r>
              <w:rPr>
                <w:rFonts w:ascii="Arial" w:cs="Arial" w:eastAsia="Arial" w:hAnsi="Arial"/>
                <w:sz w:val="11"/>
                <w:szCs w:val="11"/>
                <w:color w:val="auto"/>
              </w:rPr>
              <w:t>Equity income(a)</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1,951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1,959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173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2,132</w:t>
            </w:r>
          </w:p>
        </w:tc>
      </w:tr>
      <w:tr>
        <w:trPr>
          <w:trHeight w:val="156"/>
        </w:trPr>
        <w:tc>
          <w:tcPr>
            <w:tcW w:w="3100" w:type="dxa"/>
            <w:vAlign w:val="bottom"/>
          </w:tcPr>
          <w:p>
            <w:pPr>
              <w:spacing w:after="0" w:line="156" w:lineRule="exact"/>
              <w:rPr>
                <w:sz w:val="20"/>
                <w:szCs w:val="20"/>
                <w:color w:val="auto"/>
              </w:rPr>
            </w:pPr>
            <w:r>
              <w:rPr>
                <w:rFonts w:ascii="Arial" w:cs="Arial" w:eastAsia="Arial" w:hAnsi="Arial"/>
                <w:sz w:val="14"/>
                <w:szCs w:val="14"/>
                <w:color w:val="auto"/>
              </w:rPr>
              <w:t>________</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bl>
    <w:p>
      <w:pPr>
        <w:ind w:left="340" w:hanging="332"/>
        <w:spacing w:after="0"/>
        <w:tabs>
          <w:tab w:leader="none" w:pos="340" w:val="left"/>
        </w:tabs>
        <w:numPr>
          <w:ilvl w:val="0"/>
          <w:numId w:val="9"/>
        </w:numPr>
        <w:rPr>
          <w:rFonts w:ascii="Arial" w:cs="Arial" w:eastAsia="Arial" w:hAnsi="Arial"/>
          <w:sz w:val="12"/>
          <w:szCs w:val="12"/>
          <w:color w:val="auto"/>
        </w:rPr>
      </w:pPr>
      <w:r>
        <w:rPr>
          <w:rFonts w:ascii="Arial" w:cs="Arial" w:eastAsia="Arial" w:hAnsi="Arial"/>
          <w:sz w:val="12"/>
          <w:szCs w:val="12"/>
          <w:color w:val="auto"/>
        </w:rPr>
        <w:t>Includes Automotive China equity income of $307 million and $504 million in the three months ended December 31, 2018 and 2017 and $2.0 billion in the years ended December 31, 2018 and 2017.</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552"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(Unaudited)</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Vehicle Sales</w:t>
      </w:r>
    </w:p>
    <w:p>
      <w:pPr>
        <w:spacing w:after="0" w:line="196"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6"/>
          <w:szCs w:val="16"/>
          <w:color w:val="auto"/>
        </w:rPr>
        <w:t>GM presents both wholesale and total vehicle sales data to assist in the analysis of our revenue and our market share. Cuba, Iran, North Korea, Sudan and Syria are subject to broad economic sanctions. Accordingly these countries are excluded from industry sales data and the corresponding calculation of GM's market share.</w:t>
      </w:r>
    </w:p>
    <w:p>
      <w:pPr>
        <w:spacing w:after="0" w:line="138" w:lineRule="exact"/>
        <w:rPr>
          <w:sz w:val="20"/>
          <w:szCs w:val="20"/>
          <w:color w:val="auto"/>
        </w:rPr>
      </w:pPr>
    </w:p>
    <w:p>
      <w:pPr>
        <w:jc w:val="both"/>
        <w:ind w:firstLine="162"/>
        <w:spacing w:after="0" w:line="261" w:lineRule="auto"/>
        <w:rPr>
          <w:sz w:val="20"/>
          <w:szCs w:val="20"/>
          <w:color w:val="auto"/>
        </w:rPr>
      </w:pPr>
      <w:r>
        <w:rPr>
          <w:rFonts w:ascii="Arial" w:cs="Arial" w:eastAsia="Arial" w:hAnsi="Arial"/>
          <w:sz w:val="16"/>
          <w:szCs w:val="16"/>
          <w:color w:val="auto"/>
        </w:rPr>
        <w:t>Wholesale vehicle sales data consists of sales to GM's dealers and distributors as well as sales to the U.S. Government, and excludes vehicles sold by our joint ventures. Wholesale vehicle sales data correlates to GM's revenue recognized from the sale of vehicles, which is the largest component of Automotive net sales and revenue. In the year ended December 31, 2018 36% of our wholesale vehicle sales volume was generated outside the U.S. The following table summarizes wholesale vehicle sales by automotive segment (vehicles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3340" w:type="dxa"/>
            <w:vAlign w:val="bottom"/>
            <w:tcBorders>
              <w:bottom w:val="single" w:sz="8" w:color="auto"/>
            </w:tcBorders>
            <w:gridSpan w:val="3"/>
          </w:tcPr>
          <w:p>
            <w:pPr>
              <w:jc w:val="right"/>
              <w:ind w:right="963"/>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5"/>
                <w:szCs w:val="15"/>
                <w:color w:val="auto"/>
              </w:rPr>
            </w:pPr>
          </w:p>
        </w:tc>
        <w:tc>
          <w:tcPr>
            <w:tcW w:w="3260" w:type="dxa"/>
            <w:vAlign w:val="bottom"/>
            <w:tcBorders>
              <w:bottom w:val="single" w:sz="8" w:color="auto"/>
            </w:tcBorders>
            <w:gridSpan w:val="3"/>
          </w:tcPr>
          <w:p>
            <w:pPr>
              <w:jc w:val="right"/>
              <w:ind w:right="1163"/>
              <w:spacing w:after="0"/>
              <w:rPr>
                <w:sz w:val="20"/>
                <w:szCs w:val="20"/>
                <w:color w:val="auto"/>
              </w:rPr>
            </w:pPr>
            <w:r>
              <w:rPr>
                <w:rFonts w:ascii="Arial" w:cs="Arial" w:eastAsia="Arial" w:hAnsi="Arial"/>
                <w:sz w:val="13"/>
                <w:szCs w:val="13"/>
                <w:b w:val="1"/>
                <w:bCs w:val="1"/>
                <w:color w:val="auto"/>
              </w:rPr>
              <w:t>Years Ended</w:t>
            </w:r>
          </w:p>
        </w:tc>
      </w:tr>
      <w:tr>
        <w:trPr>
          <w:trHeight w:val="264"/>
        </w:trPr>
        <w:tc>
          <w:tcPr>
            <w:tcW w:w="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1720" w:type="dxa"/>
            <w:vAlign w:val="bottom"/>
            <w:gridSpan w:val="2"/>
          </w:tcPr>
          <w:p>
            <w:pPr>
              <w:ind w:left="240"/>
              <w:spacing w:after="0"/>
              <w:rPr>
                <w:sz w:val="20"/>
                <w:szCs w:val="20"/>
                <w:color w:val="auto"/>
              </w:rPr>
            </w:pPr>
            <w:r>
              <w:rPr>
                <w:rFonts w:ascii="Arial" w:cs="Arial" w:eastAsia="Arial" w:hAnsi="Arial"/>
                <w:sz w:val="13"/>
                <w:szCs w:val="13"/>
                <w:b w:val="1"/>
                <w:bCs w:val="1"/>
                <w:color w:val="auto"/>
              </w:rPr>
              <w:t>December 31, 2018</w:t>
            </w:r>
          </w:p>
        </w:tc>
        <w:tc>
          <w:tcPr>
            <w:tcW w:w="1720" w:type="dxa"/>
            <w:vAlign w:val="bottom"/>
            <w:gridSpan w:val="2"/>
          </w:tcPr>
          <w:p>
            <w:pPr>
              <w:ind w:left="240"/>
              <w:spacing w:after="0"/>
              <w:rPr>
                <w:sz w:val="20"/>
                <w:szCs w:val="20"/>
                <w:color w:val="auto"/>
              </w:rPr>
            </w:pPr>
            <w:r>
              <w:rPr>
                <w:rFonts w:ascii="Arial" w:cs="Arial" w:eastAsia="Arial" w:hAnsi="Arial"/>
                <w:sz w:val="13"/>
                <w:szCs w:val="13"/>
                <w:b w:val="1"/>
                <w:bCs w:val="1"/>
                <w:color w:val="auto"/>
              </w:rPr>
              <w:t>December 31, 2017</w:t>
            </w:r>
          </w:p>
        </w:tc>
        <w:tc>
          <w:tcPr>
            <w:tcW w:w="1680" w:type="dxa"/>
            <w:vAlign w:val="bottom"/>
            <w:gridSpan w:val="2"/>
          </w:tcPr>
          <w:p>
            <w:pPr>
              <w:ind w:left="220"/>
              <w:spacing w:after="0"/>
              <w:rPr>
                <w:sz w:val="20"/>
                <w:szCs w:val="20"/>
                <w:color w:val="auto"/>
              </w:rPr>
            </w:pPr>
            <w:r>
              <w:rPr>
                <w:rFonts w:ascii="Arial" w:cs="Arial" w:eastAsia="Arial" w:hAnsi="Arial"/>
                <w:sz w:val="13"/>
                <w:szCs w:val="13"/>
                <w:b w:val="1"/>
                <w:bCs w:val="1"/>
                <w:color w:val="auto"/>
              </w:rPr>
              <w:t>December 31, 2018</w:t>
            </w:r>
          </w:p>
        </w:tc>
        <w:tc>
          <w:tcPr>
            <w:tcW w:w="1580" w:type="dxa"/>
            <w:vAlign w:val="bottom"/>
          </w:tcPr>
          <w:p>
            <w:pPr>
              <w:jc w:val="right"/>
              <w:ind w:right="143"/>
              <w:spacing w:after="0"/>
              <w:rPr>
                <w:sz w:val="20"/>
                <w:szCs w:val="20"/>
                <w:color w:val="auto"/>
              </w:rPr>
            </w:pPr>
            <w:r>
              <w:rPr>
                <w:rFonts w:ascii="Arial" w:cs="Arial" w:eastAsia="Arial" w:hAnsi="Arial"/>
                <w:sz w:val="13"/>
                <w:szCs w:val="13"/>
                <w:b w:val="1"/>
                <w:bCs w:val="1"/>
                <w:color w:val="auto"/>
              </w:rPr>
              <w:t>December 31, 2017</w:t>
            </w:r>
          </w:p>
        </w:tc>
      </w:tr>
      <w:tr>
        <w:trPr>
          <w:trHeight w:val="241"/>
        </w:trPr>
        <w:tc>
          <w:tcPr>
            <w:tcW w:w="20" w:type="dxa"/>
            <w:vAlign w:val="bottom"/>
          </w:tcPr>
          <w:p>
            <w:pPr>
              <w:spacing w:after="0"/>
              <w:rPr>
                <w:sz w:val="20"/>
                <w:szCs w:val="20"/>
                <w:color w:val="auto"/>
              </w:rPr>
            </w:pPr>
          </w:p>
        </w:tc>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GMNA(a)</w:t>
            </w:r>
          </w:p>
        </w:tc>
        <w:tc>
          <w:tcPr>
            <w:tcW w:w="16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896</w:t>
            </w:r>
          </w:p>
        </w:tc>
        <w:tc>
          <w:tcPr>
            <w:tcW w:w="120" w:type="dxa"/>
            <w:vAlign w:val="bottom"/>
            <w:tcBorders>
              <w:top w:val="single" w:sz="8" w:color="CCEEFF"/>
            </w:tcBorders>
            <w:shd w:val="clear" w:color="auto" w:fill="CCEEFF"/>
          </w:tcPr>
          <w:p>
            <w:pPr>
              <w:spacing w:after="0"/>
              <w:rPr>
                <w:sz w:val="20"/>
                <w:szCs w:val="20"/>
                <w:color w:val="auto"/>
              </w:rPr>
            </w:pPr>
          </w:p>
        </w:tc>
        <w:tc>
          <w:tcPr>
            <w:tcW w:w="16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915</w:t>
            </w:r>
          </w:p>
        </w:tc>
        <w:tc>
          <w:tcPr>
            <w:tcW w:w="100" w:type="dxa"/>
            <w:vAlign w:val="bottom"/>
            <w:tcBorders>
              <w:top w:val="single" w:sz="8" w:color="CCEEFF"/>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3,555</w:t>
            </w:r>
          </w:p>
        </w:tc>
        <w:tc>
          <w:tcPr>
            <w:tcW w:w="100" w:type="dxa"/>
            <w:vAlign w:val="bottom"/>
            <w:tcBorders>
              <w:top w:val="single" w:sz="8" w:color="CCEEFF"/>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3,511</w:t>
            </w:r>
          </w:p>
        </w:tc>
      </w:tr>
      <w:tr>
        <w:trPr>
          <w:trHeight w:val="237"/>
        </w:trPr>
        <w:tc>
          <w:tcPr>
            <w:tcW w:w="20" w:type="dxa"/>
            <w:vAlign w:val="bottom"/>
          </w:tcPr>
          <w:p>
            <w:pPr>
              <w:spacing w:after="0"/>
              <w:rPr>
                <w:sz w:val="20"/>
                <w:szCs w:val="20"/>
                <w:color w:val="auto"/>
              </w:rPr>
            </w:pPr>
          </w:p>
        </w:tc>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GMI(b)</w:t>
            </w:r>
          </w:p>
        </w:tc>
        <w:tc>
          <w:tcPr>
            <w:tcW w:w="16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316</w:t>
            </w:r>
          </w:p>
        </w:tc>
        <w:tc>
          <w:tcPr>
            <w:tcW w:w="1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328</w:t>
            </w:r>
          </w:p>
        </w:tc>
        <w:tc>
          <w:tcPr>
            <w:tcW w:w="1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1,152</w:t>
            </w:r>
          </w:p>
        </w:tc>
        <w:tc>
          <w:tcPr>
            <w:tcW w:w="1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1,267</w:t>
            </w:r>
          </w:p>
        </w:tc>
      </w:tr>
      <w:tr>
        <w:trPr>
          <w:trHeight w:val="242"/>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1,212</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1,243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4,707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4,778</w:t>
            </w: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r>
      <w:tr>
        <w:trPr>
          <w:trHeight w:val="270"/>
        </w:trPr>
        <w:tc>
          <w:tcPr>
            <w:tcW w:w="20" w:type="dxa"/>
            <w:vAlign w:val="bottom"/>
          </w:tcPr>
          <w:p>
            <w:pPr>
              <w:spacing w:after="0"/>
              <w:rPr>
                <w:sz w:val="23"/>
                <w:szCs w:val="23"/>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Discontinued operations</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696</w:t>
            </w:r>
          </w:p>
        </w:tc>
      </w:tr>
      <w:tr>
        <w:trPr>
          <w:trHeight w:val="167"/>
        </w:trPr>
        <w:tc>
          <w:tcPr>
            <w:tcW w:w="20" w:type="dxa"/>
            <w:vAlign w:val="bottom"/>
          </w:tcPr>
          <w:p>
            <w:pPr>
              <w:spacing w:after="0"/>
              <w:rPr>
                <w:sz w:val="14"/>
                <w:szCs w:val="14"/>
                <w:color w:val="auto"/>
              </w:rPr>
            </w:pPr>
          </w:p>
        </w:tc>
        <w:tc>
          <w:tcPr>
            <w:tcW w:w="4680" w:type="dxa"/>
            <w:vAlign w:val="bottom"/>
          </w:tcPr>
          <w:p>
            <w:pPr>
              <w:spacing w:after="0"/>
              <w:rPr>
                <w:sz w:val="20"/>
                <w:szCs w:val="20"/>
                <w:color w:val="auto"/>
              </w:rPr>
            </w:pPr>
            <w:r>
              <w:rPr>
                <w:rFonts w:ascii="Arial" w:cs="Arial" w:eastAsia="Arial" w:hAnsi="Arial"/>
                <w:sz w:val="14"/>
                <w:szCs w:val="14"/>
                <w:color w:val="auto"/>
              </w:rPr>
              <w:t>__________</w:t>
            </w: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r>
    </w:tbl>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Wholesale vehicle sales related to transactions with the European Business were insignificant for the three months and year ended December 31, 2017.</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Wholesale vehicle sales include 131 vehicles related to transactions with the European Business for the year ended December 31, 2017.</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552"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28"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6"/>
          <w:szCs w:val="16"/>
          <w:color w:val="auto"/>
        </w:rPr>
        <w:t>Total vehicle sales data represents: (1) retail sales (i.e., sales to consumers who purchase new vehicles from dealers or distributors); (2) fleet sales, such as sales to large and small businesses, governments, and daily rental car companies; and (3) vehicles used by dealers in their businesses, including courtesy transportation vehicles.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GM recognizes during a particular period, we believe it is indicative of the underlying demand for GM vehicles. Total vehicle sales data represents management's good faith estimate based on sales reported by GM's dealers, distributors, and joint ventures, commercially available data sources such as registration and insurance data, and internal estimates and forecasts when other data is not available.</w:t>
      </w:r>
    </w:p>
    <w:p>
      <w:pPr>
        <w:spacing w:after="0" w:line="15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total industry vehicle sales, by geographic region (vehicles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80" w:type="dxa"/>
            <w:vAlign w:val="bottom"/>
          </w:tcPr>
          <w:p>
            <w:pPr>
              <w:spacing w:after="0"/>
              <w:rPr>
                <w:sz w:val="15"/>
                <w:szCs w:val="15"/>
                <w:color w:val="auto"/>
              </w:rPr>
            </w:pPr>
          </w:p>
        </w:tc>
        <w:tc>
          <w:tcPr>
            <w:tcW w:w="3340" w:type="dxa"/>
            <w:vAlign w:val="bottom"/>
            <w:tcBorders>
              <w:bottom w:val="single" w:sz="8" w:color="auto"/>
            </w:tcBorders>
            <w:gridSpan w:val="3"/>
          </w:tcPr>
          <w:p>
            <w:pPr>
              <w:jc w:val="right"/>
              <w:ind w:right="96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5"/>
                <w:szCs w:val="15"/>
                <w:color w:val="auto"/>
              </w:rPr>
            </w:pPr>
          </w:p>
        </w:tc>
        <w:tc>
          <w:tcPr>
            <w:tcW w:w="3280" w:type="dxa"/>
            <w:vAlign w:val="bottom"/>
            <w:tcBorders>
              <w:bottom w:val="single" w:sz="8" w:color="auto"/>
            </w:tcBorders>
            <w:gridSpan w:val="3"/>
          </w:tcPr>
          <w:p>
            <w:pPr>
              <w:jc w:val="right"/>
              <w:ind w:right="1160"/>
              <w:spacing w:after="0"/>
              <w:rPr>
                <w:sz w:val="20"/>
                <w:szCs w:val="20"/>
                <w:color w:val="auto"/>
              </w:rPr>
            </w:pPr>
            <w:r>
              <w:rPr>
                <w:rFonts w:ascii="Arial" w:cs="Arial" w:eastAsia="Arial" w:hAnsi="Arial"/>
                <w:sz w:val="13"/>
                <w:szCs w:val="13"/>
                <w:b w:val="1"/>
                <w:bCs w:val="1"/>
                <w:color w:val="auto"/>
              </w:rPr>
              <w:t>Years Ended</w:t>
            </w:r>
          </w:p>
        </w:tc>
        <w:tc>
          <w:tcPr>
            <w:tcW w:w="0" w:type="dxa"/>
            <w:vAlign w:val="bottom"/>
          </w:tcPr>
          <w:p>
            <w:pPr>
              <w:spacing w:after="0"/>
              <w:rPr>
                <w:sz w:val="1"/>
                <w:szCs w:val="1"/>
                <w:color w:val="auto"/>
              </w:rPr>
            </w:pPr>
          </w:p>
        </w:tc>
      </w:tr>
      <w:tr>
        <w:trPr>
          <w:trHeight w:val="261"/>
        </w:trPr>
        <w:tc>
          <w:tcPr>
            <w:tcW w:w="4680" w:type="dxa"/>
            <w:vAlign w:val="bottom"/>
          </w:tcPr>
          <w:p>
            <w:pPr>
              <w:spacing w:after="0"/>
              <w:rPr>
                <w:sz w:val="22"/>
                <w:szCs w:val="22"/>
                <w:color w:val="auto"/>
              </w:rPr>
            </w:pPr>
          </w:p>
        </w:tc>
        <w:tc>
          <w:tcPr>
            <w:tcW w:w="1720" w:type="dxa"/>
            <w:vAlign w:val="bottom"/>
            <w:gridSpan w:val="2"/>
          </w:tcPr>
          <w:p>
            <w:pPr>
              <w:ind w:left="240"/>
              <w:spacing w:after="0"/>
              <w:rPr>
                <w:sz w:val="20"/>
                <w:szCs w:val="20"/>
                <w:color w:val="auto"/>
              </w:rPr>
            </w:pPr>
            <w:r>
              <w:rPr>
                <w:rFonts w:ascii="Arial" w:cs="Arial" w:eastAsia="Arial" w:hAnsi="Arial"/>
                <w:sz w:val="13"/>
                <w:szCs w:val="13"/>
                <w:b w:val="1"/>
                <w:bCs w:val="1"/>
                <w:color w:val="auto"/>
              </w:rPr>
              <w:t>December 31, 2018</w:t>
            </w:r>
          </w:p>
        </w:tc>
        <w:tc>
          <w:tcPr>
            <w:tcW w:w="1720" w:type="dxa"/>
            <w:vAlign w:val="bottom"/>
            <w:gridSpan w:val="2"/>
          </w:tcPr>
          <w:p>
            <w:pPr>
              <w:ind w:left="240"/>
              <w:spacing w:after="0"/>
              <w:rPr>
                <w:sz w:val="20"/>
                <w:szCs w:val="20"/>
                <w:color w:val="auto"/>
              </w:rPr>
            </w:pPr>
            <w:r>
              <w:rPr>
                <w:rFonts w:ascii="Arial" w:cs="Arial" w:eastAsia="Arial" w:hAnsi="Arial"/>
                <w:sz w:val="13"/>
                <w:szCs w:val="13"/>
                <w:b w:val="1"/>
                <w:bCs w:val="1"/>
                <w:color w:val="auto"/>
              </w:rPr>
              <w:t>December 31, 2017</w:t>
            </w:r>
          </w:p>
        </w:tc>
        <w:tc>
          <w:tcPr>
            <w:tcW w:w="1700" w:type="dxa"/>
            <w:vAlign w:val="bottom"/>
            <w:gridSpan w:val="2"/>
          </w:tcPr>
          <w:p>
            <w:pPr>
              <w:ind w:left="220"/>
              <w:spacing w:after="0"/>
              <w:rPr>
                <w:sz w:val="20"/>
                <w:szCs w:val="20"/>
                <w:color w:val="auto"/>
              </w:rPr>
            </w:pPr>
            <w:r>
              <w:rPr>
                <w:rFonts w:ascii="Arial" w:cs="Arial" w:eastAsia="Arial" w:hAnsi="Arial"/>
                <w:sz w:val="13"/>
                <w:szCs w:val="13"/>
                <w:b w:val="1"/>
                <w:bCs w:val="1"/>
                <w:color w:val="auto"/>
              </w:rPr>
              <w:t>December 31, 2018</w:t>
            </w:r>
          </w:p>
        </w:tc>
        <w:tc>
          <w:tcPr>
            <w:tcW w:w="1580" w:type="dxa"/>
            <w:vAlign w:val="bottom"/>
          </w:tcPr>
          <w:p>
            <w:pPr>
              <w:jc w:val="right"/>
              <w:ind w:right="140"/>
              <w:spacing w:after="0"/>
              <w:rPr>
                <w:sz w:val="20"/>
                <w:szCs w:val="20"/>
                <w:color w:val="auto"/>
              </w:rPr>
            </w:pPr>
            <w:r>
              <w:rPr>
                <w:rFonts w:ascii="Arial" w:cs="Arial" w:eastAsia="Arial" w:hAnsi="Arial"/>
                <w:sz w:val="13"/>
                <w:szCs w:val="13"/>
                <w:b w:val="1"/>
                <w:bCs w:val="1"/>
                <w:color w:val="auto"/>
              </w:rPr>
              <w:t>December 31, 2017</w:t>
            </w:r>
          </w:p>
        </w:tc>
        <w:tc>
          <w:tcPr>
            <w:tcW w:w="0" w:type="dxa"/>
            <w:vAlign w:val="bottom"/>
          </w:tcPr>
          <w:p>
            <w:pPr>
              <w:spacing w:after="0"/>
              <w:rPr>
                <w:sz w:val="1"/>
                <w:szCs w:val="1"/>
                <w:color w:val="auto"/>
              </w:rPr>
            </w:pPr>
          </w:p>
        </w:tc>
      </w:tr>
      <w:tr>
        <w:trPr>
          <w:trHeight w:val="262"/>
        </w:trPr>
        <w:tc>
          <w:tcPr>
            <w:tcW w:w="468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16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4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Chevrolet – Cars</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111</w:t>
            </w: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476</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235"/>
        </w:trPr>
        <w:tc>
          <w:tcPr>
            <w:tcW w:w="4680" w:type="dxa"/>
            <w:vAlign w:val="bottom"/>
          </w:tcPr>
          <w:p>
            <w:pPr>
              <w:ind w:left="280"/>
              <w:spacing w:after="0"/>
              <w:rPr>
                <w:sz w:val="20"/>
                <w:szCs w:val="20"/>
                <w:color w:val="auto"/>
              </w:rPr>
            </w:pPr>
            <w:r>
              <w:rPr>
                <w:rFonts w:ascii="Arial" w:cs="Arial" w:eastAsia="Arial" w:hAnsi="Arial"/>
                <w:sz w:val="16"/>
                <w:szCs w:val="16"/>
                <w:color w:val="auto"/>
              </w:rPr>
              <w:t>Chevrolet – Trucks</w:t>
            </w: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20"/>
                <w:szCs w:val="20"/>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20"/>
                <w:szCs w:val="20"/>
                <w:color w:val="auto"/>
              </w:rPr>
            </w:pPr>
          </w:p>
        </w:tc>
        <w:tc>
          <w:tcPr>
            <w:tcW w:w="1580" w:type="dxa"/>
            <w:vAlign w:val="bottom"/>
          </w:tcPr>
          <w:p>
            <w:pPr>
              <w:jc w:val="right"/>
              <w:ind w:right="21"/>
              <w:spacing w:after="0"/>
              <w:rPr>
                <w:sz w:val="20"/>
                <w:szCs w:val="20"/>
                <w:color w:val="auto"/>
              </w:rPr>
            </w:pPr>
            <w:r>
              <w:rPr>
                <w:rFonts w:ascii="Arial" w:cs="Arial" w:eastAsia="Arial" w:hAnsi="Arial"/>
                <w:sz w:val="16"/>
                <w:szCs w:val="16"/>
                <w:color w:val="auto"/>
              </w:rPr>
              <w:t>969</w:t>
            </w:r>
          </w:p>
        </w:tc>
        <w:tc>
          <w:tcPr>
            <w:tcW w:w="12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926</w:t>
            </w:r>
          </w:p>
        </w:tc>
        <w:tc>
          <w:tcPr>
            <w:tcW w:w="0" w:type="dxa"/>
            <w:vAlign w:val="bottom"/>
          </w:tcPr>
          <w:p>
            <w:pPr>
              <w:spacing w:after="0"/>
              <w:rPr>
                <w:sz w:val="1"/>
                <w:szCs w:val="1"/>
                <w:color w:val="auto"/>
              </w:rPr>
            </w:pPr>
          </w:p>
        </w:tc>
      </w:tr>
      <w:tr>
        <w:trPr>
          <w:trHeight w:val="251"/>
        </w:trPr>
        <w:tc>
          <w:tcPr>
            <w:tcW w:w="4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Chevrolet – Crossovers</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167</w:t>
            </w: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591</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235"/>
        </w:trPr>
        <w:tc>
          <w:tcPr>
            <w:tcW w:w="4680" w:type="dxa"/>
            <w:vAlign w:val="bottom"/>
          </w:tcPr>
          <w:p>
            <w:pPr>
              <w:ind w:left="280"/>
              <w:spacing w:after="0"/>
              <w:rPr>
                <w:sz w:val="20"/>
                <w:szCs w:val="20"/>
                <w:color w:val="auto"/>
              </w:rPr>
            </w:pPr>
            <w:r>
              <w:rPr>
                <w:rFonts w:ascii="Arial" w:cs="Arial" w:eastAsia="Arial" w:hAnsi="Arial"/>
                <w:sz w:val="16"/>
                <w:szCs w:val="16"/>
                <w:color w:val="auto"/>
              </w:rPr>
              <w:t>Cadillac</w:t>
            </w: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1580" w:type="dxa"/>
            <w:vAlign w:val="bottom"/>
          </w:tcPr>
          <w:p>
            <w:pPr>
              <w:jc w:val="right"/>
              <w:ind w:right="21"/>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51"/>
        </w:trPr>
        <w:tc>
          <w:tcPr>
            <w:tcW w:w="4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Buick</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207</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37"/>
        </w:trPr>
        <w:tc>
          <w:tcPr>
            <w:tcW w:w="46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GMC</w:t>
            </w: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556</w:t>
            </w:r>
          </w:p>
        </w:tc>
        <w:tc>
          <w:tcPr>
            <w:tcW w:w="12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243"/>
        </w:trPr>
        <w:tc>
          <w:tcPr>
            <w:tcW w:w="4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United States</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785</w:t>
            </w: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807</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2,954</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3,002</w:t>
            </w:r>
          </w:p>
        </w:tc>
        <w:tc>
          <w:tcPr>
            <w:tcW w:w="0" w:type="dxa"/>
            <w:vAlign w:val="bottom"/>
          </w:tcPr>
          <w:p>
            <w:pPr>
              <w:spacing w:after="0"/>
              <w:rPr>
                <w:sz w:val="1"/>
                <w:szCs w:val="1"/>
                <w:color w:val="auto"/>
              </w:rPr>
            </w:pPr>
          </w:p>
        </w:tc>
      </w:tr>
      <w:tr>
        <w:trPr>
          <w:trHeight w:val="237"/>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Canada, Mexico and Other</w:t>
            </w: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536</w:t>
            </w:r>
          </w:p>
        </w:tc>
        <w:tc>
          <w:tcPr>
            <w:tcW w:w="12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574</w:t>
            </w:r>
          </w:p>
        </w:tc>
        <w:tc>
          <w:tcPr>
            <w:tcW w:w="0" w:type="dxa"/>
            <w:vAlign w:val="bottom"/>
          </w:tcPr>
          <w:p>
            <w:pPr>
              <w:spacing w:after="0"/>
              <w:rPr>
                <w:sz w:val="1"/>
                <w:szCs w:val="1"/>
                <w:color w:val="auto"/>
              </w:rPr>
            </w:pPr>
          </w:p>
        </w:tc>
      </w:tr>
      <w:tr>
        <w:trPr>
          <w:trHeight w:val="243"/>
        </w:trPr>
        <w:tc>
          <w:tcPr>
            <w:tcW w:w="4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North America(a)</w:t>
            </w:r>
          </w:p>
        </w:tc>
        <w:tc>
          <w:tcPr>
            <w:tcW w:w="16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917</w:t>
            </w:r>
          </w:p>
        </w:tc>
        <w:tc>
          <w:tcPr>
            <w:tcW w:w="120" w:type="dxa"/>
            <w:vAlign w:val="bottom"/>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957</w:t>
            </w:r>
          </w:p>
        </w:tc>
        <w:tc>
          <w:tcPr>
            <w:tcW w:w="100" w:type="dxa"/>
            <w:vAlign w:val="bottom"/>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3,490</w:t>
            </w:r>
          </w:p>
        </w:tc>
        <w:tc>
          <w:tcPr>
            <w:tcW w:w="120" w:type="dxa"/>
            <w:vAlign w:val="bottom"/>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3,576</w:t>
            </w:r>
          </w:p>
        </w:tc>
        <w:tc>
          <w:tcPr>
            <w:tcW w:w="0" w:type="dxa"/>
            <w:vAlign w:val="bottom"/>
          </w:tcPr>
          <w:p>
            <w:pPr>
              <w:spacing w:after="0"/>
              <w:rPr>
                <w:sz w:val="1"/>
                <w:szCs w:val="1"/>
                <w:color w:val="auto"/>
              </w:rPr>
            </w:pPr>
          </w:p>
        </w:tc>
      </w:tr>
      <w:tr>
        <w:trPr>
          <w:trHeight w:val="229"/>
        </w:trPr>
        <w:tc>
          <w:tcPr>
            <w:tcW w:w="4680" w:type="dxa"/>
            <w:vAlign w:val="bottom"/>
          </w:tcPr>
          <w:p>
            <w:pPr>
              <w:ind w:left="40"/>
              <w:spacing w:after="0"/>
              <w:rPr>
                <w:sz w:val="20"/>
                <w:szCs w:val="20"/>
                <w:color w:val="auto"/>
              </w:rPr>
            </w:pPr>
            <w:r>
              <w:rPr>
                <w:rFonts w:ascii="Arial" w:cs="Arial" w:eastAsia="Arial" w:hAnsi="Arial"/>
                <w:sz w:val="16"/>
                <w:szCs w:val="16"/>
                <w:color w:val="auto"/>
              </w:rPr>
              <w:t>Asia/Pacific, Middle East and Africa</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Chevrolet</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287</w:t>
            </w: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310</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959</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980</w:t>
            </w:r>
          </w:p>
        </w:tc>
        <w:tc>
          <w:tcPr>
            <w:tcW w:w="0" w:type="dxa"/>
            <w:vAlign w:val="bottom"/>
          </w:tcPr>
          <w:p>
            <w:pPr>
              <w:spacing w:after="0"/>
              <w:rPr>
                <w:sz w:val="1"/>
                <w:szCs w:val="1"/>
                <w:color w:val="auto"/>
              </w:rPr>
            </w:pPr>
          </w:p>
        </w:tc>
      </w:tr>
      <w:tr>
        <w:trPr>
          <w:trHeight w:val="235"/>
        </w:trPr>
        <w:tc>
          <w:tcPr>
            <w:tcW w:w="4680" w:type="dxa"/>
            <w:vAlign w:val="bottom"/>
          </w:tcPr>
          <w:p>
            <w:pPr>
              <w:ind w:left="280"/>
              <w:spacing w:after="0"/>
              <w:rPr>
                <w:sz w:val="20"/>
                <w:szCs w:val="20"/>
                <w:color w:val="auto"/>
              </w:rPr>
            </w:pPr>
            <w:r>
              <w:rPr>
                <w:rFonts w:ascii="Arial" w:cs="Arial" w:eastAsia="Arial" w:hAnsi="Arial"/>
                <w:sz w:val="16"/>
                <w:szCs w:val="16"/>
                <w:color w:val="auto"/>
              </w:rPr>
              <w:t>Wuling</w:t>
            </w: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20"/>
                <w:szCs w:val="20"/>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20"/>
                <w:szCs w:val="20"/>
                <w:color w:val="auto"/>
              </w:rPr>
            </w:pPr>
          </w:p>
        </w:tc>
        <w:tc>
          <w:tcPr>
            <w:tcW w:w="1580" w:type="dxa"/>
            <w:vAlign w:val="bottom"/>
          </w:tcPr>
          <w:p>
            <w:pPr>
              <w:jc w:val="right"/>
              <w:ind w:right="21"/>
              <w:spacing w:after="0"/>
              <w:rPr>
                <w:sz w:val="20"/>
                <w:szCs w:val="20"/>
                <w:color w:val="auto"/>
              </w:rPr>
            </w:pPr>
            <w:r>
              <w:rPr>
                <w:rFonts w:ascii="Arial" w:cs="Arial" w:eastAsia="Arial" w:hAnsi="Arial"/>
                <w:sz w:val="16"/>
                <w:szCs w:val="16"/>
                <w:color w:val="auto"/>
              </w:rPr>
              <w:t>1,071</w:t>
            </w:r>
          </w:p>
        </w:tc>
        <w:tc>
          <w:tcPr>
            <w:tcW w:w="12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1,141</w:t>
            </w:r>
          </w:p>
        </w:tc>
        <w:tc>
          <w:tcPr>
            <w:tcW w:w="0" w:type="dxa"/>
            <w:vAlign w:val="bottom"/>
          </w:tcPr>
          <w:p>
            <w:pPr>
              <w:spacing w:after="0"/>
              <w:rPr>
                <w:sz w:val="1"/>
                <w:szCs w:val="1"/>
                <w:color w:val="auto"/>
              </w:rPr>
            </w:pPr>
          </w:p>
        </w:tc>
      </w:tr>
      <w:tr>
        <w:trPr>
          <w:trHeight w:val="251"/>
        </w:trPr>
        <w:tc>
          <w:tcPr>
            <w:tcW w:w="4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Buick</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267</w:t>
            </w: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347</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1,020</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1,183</w:t>
            </w:r>
          </w:p>
        </w:tc>
        <w:tc>
          <w:tcPr>
            <w:tcW w:w="0" w:type="dxa"/>
            <w:vAlign w:val="bottom"/>
          </w:tcPr>
          <w:p>
            <w:pPr>
              <w:spacing w:after="0"/>
              <w:rPr>
                <w:sz w:val="1"/>
                <w:szCs w:val="1"/>
                <w:color w:val="auto"/>
              </w:rPr>
            </w:pPr>
          </w:p>
        </w:tc>
      </w:tr>
      <w:tr>
        <w:trPr>
          <w:trHeight w:val="235"/>
        </w:trPr>
        <w:tc>
          <w:tcPr>
            <w:tcW w:w="4680" w:type="dxa"/>
            <w:vAlign w:val="bottom"/>
          </w:tcPr>
          <w:p>
            <w:pPr>
              <w:ind w:left="280"/>
              <w:spacing w:after="0"/>
              <w:rPr>
                <w:sz w:val="20"/>
                <w:szCs w:val="20"/>
                <w:color w:val="auto"/>
              </w:rPr>
            </w:pPr>
            <w:r>
              <w:rPr>
                <w:rFonts w:ascii="Arial" w:cs="Arial" w:eastAsia="Arial" w:hAnsi="Arial"/>
                <w:sz w:val="16"/>
                <w:szCs w:val="16"/>
                <w:color w:val="auto"/>
              </w:rPr>
              <w:t>Baojun</w:t>
            </w: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20"/>
                <w:szCs w:val="20"/>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356</w:t>
            </w:r>
          </w:p>
        </w:tc>
        <w:tc>
          <w:tcPr>
            <w:tcW w:w="100" w:type="dxa"/>
            <w:vAlign w:val="bottom"/>
          </w:tcPr>
          <w:p>
            <w:pPr>
              <w:spacing w:after="0"/>
              <w:rPr>
                <w:sz w:val="20"/>
                <w:szCs w:val="20"/>
                <w:color w:val="auto"/>
              </w:rPr>
            </w:pPr>
          </w:p>
        </w:tc>
        <w:tc>
          <w:tcPr>
            <w:tcW w:w="1580" w:type="dxa"/>
            <w:vAlign w:val="bottom"/>
          </w:tcPr>
          <w:p>
            <w:pPr>
              <w:jc w:val="right"/>
              <w:ind w:right="21"/>
              <w:spacing w:after="0"/>
              <w:rPr>
                <w:sz w:val="20"/>
                <w:szCs w:val="20"/>
                <w:color w:val="auto"/>
              </w:rPr>
            </w:pPr>
            <w:r>
              <w:rPr>
                <w:rFonts w:ascii="Arial" w:cs="Arial" w:eastAsia="Arial" w:hAnsi="Arial"/>
                <w:sz w:val="16"/>
                <w:szCs w:val="16"/>
                <w:color w:val="auto"/>
              </w:rPr>
              <w:t>840</w:t>
            </w:r>
          </w:p>
        </w:tc>
        <w:tc>
          <w:tcPr>
            <w:tcW w:w="12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997</w:t>
            </w:r>
          </w:p>
        </w:tc>
        <w:tc>
          <w:tcPr>
            <w:tcW w:w="0" w:type="dxa"/>
            <w:vAlign w:val="bottom"/>
          </w:tcPr>
          <w:p>
            <w:pPr>
              <w:spacing w:after="0"/>
              <w:rPr>
                <w:sz w:val="1"/>
                <w:szCs w:val="1"/>
                <w:color w:val="auto"/>
              </w:rPr>
            </w:pPr>
          </w:p>
        </w:tc>
      </w:tr>
      <w:tr>
        <w:trPr>
          <w:trHeight w:val="251"/>
        </w:trPr>
        <w:tc>
          <w:tcPr>
            <w:tcW w:w="4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Cadillac</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213</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37"/>
        </w:trPr>
        <w:tc>
          <w:tcPr>
            <w:tcW w:w="46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43"/>
        </w:trPr>
        <w:tc>
          <w:tcPr>
            <w:tcW w:w="4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Asia/Pacific, Middle East and Africa(a)(b)</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1,140</w:t>
            </w: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1,455</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4,200</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4,670</w:t>
            </w:r>
          </w:p>
        </w:tc>
        <w:tc>
          <w:tcPr>
            <w:tcW w:w="0" w:type="dxa"/>
            <w:vAlign w:val="bottom"/>
          </w:tcPr>
          <w:p>
            <w:pPr>
              <w:spacing w:after="0"/>
              <w:rPr>
                <w:sz w:val="1"/>
                <w:szCs w:val="1"/>
                <w:color w:val="auto"/>
              </w:rPr>
            </w:pPr>
          </w:p>
        </w:tc>
      </w:tr>
      <w:tr>
        <w:trPr>
          <w:trHeight w:val="237"/>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South America(a)(c)</w:t>
            </w: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185</w:t>
            </w:r>
          </w:p>
        </w:tc>
        <w:tc>
          <w:tcPr>
            <w:tcW w:w="1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181</w:t>
            </w:r>
          </w:p>
        </w:tc>
        <w:tc>
          <w:tcPr>
            <w:tcW w:w="1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690</w:t>
            </w:r>
          </w:p>
        </w:tc>
        <w:tc>
          <w:tcPr>
            <w:tcW w:w="12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669</w:t>
            </w:r>
          </w:p>
        </w:tc>
        <w:tc>
          <w:tcPr>
            <w:tcW w:w="0" w:type="dxa"/>
            <w:vAlign w:val="bottom"/>
          </w:tcPr>
          <w:p>
            <w:pPr>
              <w:spacing w:after="0"/>
              <w:rPr>
                <w:sz w:val="1"/>
                <w:szCs w:val="1"/>
                <w:color w:val="auto"/>
              </w:rPr>
            </w:pPr>
          </w:p>
        </w:tc>
      </w:tr>
      <w:tr>
        <w:trPr>
          <w:trHeight w:val="243"/>
        </w:trPr>
        <w:tc>
          <w:tcPr>
            <w:tcW w:w="4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in GM markets</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2,242</w:t>
            </w: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2,593</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8,380</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8,915</w:t>
            </w:r>
          </w:p>
        </w:tc>
        <w:tc>
          <w:tcPr>
            <w:tcW w:w="0" w:type="dxa"/>
            <w:vAlign w:val="bottom"/>
          </w:tcPr>
          <w:p>
            <w:pPr>
              <w:spacing w:after="0"/>
              <w:rPr>
                <w:sz w:val="1"/>
                <w:szCs w:val="1"/>
                <w:color w:val="auto"/>
              </w:rPr>
            </w:pPr>
          </w:p>
        </w:tc>
      </w:tr>
      <w:tr>
        <w:trPr>
          <w:trHeight w:val="237"/>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Europe</w:t>
            </w: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685</w:t>
            </w:r>
          </w:p>
        </w:tc>
        <w:tc>
          <w:tcPr>
            <w:tcW w:w="0" w:type="dxa"/>
            <w:vAlign w:val="bottom"/>
          </w:tcPr>
          <w:p>
            <w:pPr>
              <w:spacing w:after="0"/>
              <w:rPr>
                <w:sz w:val="1"/>
                <w:szCs w:val="1"/>
                <w:color w:val="auto"/>
              </w:rPr>
            </w:pPr>
          </w:p>
        </w:tc>
      </w:tr>
      <w:tr>
        <w:trPr>
          <w:trHeight w:val="242"/>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Worldwide</w:t>
            </w:r>
          </w:p>
        </w:tc>
        <w:tc>
          <w:tcPr>
            <w:tcW w:w="16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2,243</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2,594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8,384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9,600</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4"/>
                <w:szCs w:val="14"/>
                <w:color w:val="auto"/>
              </w:rPr>
              <w:t>_______</w:t>
            </w: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680" w:type="dxa"/>
            <w:vAlign w:val="bottom"/>
            <w:vMerge w:val="continue"/>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Sales of Opel/Vauxhall outside of Europe were insignificant in the three months and year ended December 31, 2017.</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sales in India and South Africa. As of December 31, 2017 we have ceased sales of Chevrolet for the domestic markets in India and South Africa.</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Primarily Chevrolet.</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vehicle sales at GM's China joint ventures presented in the following table are included in GM's retail vehicle sales above (vehicles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00" w:type="dxa"/>
            <w:vAlign w:val="bottom"/>
          </w:tcPr>
          <w:p>
            <w:pPr>
              <w:spacing w:after="0"/>
              <w:rPr>
                <w:sz w:val="15"/>
                <w:szCs w:val="15"/>
                <w:color w:val="auto"/>
              </w:rPr>
            </w:pPr>
          </w:p>
        </w:tc>
        <w:tc>
          <w:tcPr>
            <w:tcW w:w="3340" w:type="dxa"/>
            <w:vAlign w:val="bottom"/>
            <w:tcBorders>
              <w:bottom w:val="single" w:sz="8" w:color="auto"/>
            </w:tcBorders>
            <w:gridSpan w:val="3"/>
          </w:tcPr>
          <w:p>
            <w:pPr>
              <w:jc w:val="right"/>
              <w:ind w:right="965"/>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5"/>
                <w:szCs w:val="15"/>
                <w:color w:val="auto"/>
              </w:rPr>
            </w:pPr>
          </w:p>
        </w:tc>
        <w:tc>
          <w:tcPr>
            <w:tcW w:w="3260" w:type="dxa"/>
            <w:vAlign w:val="bottom"/>
            <w:tcBorders>
              <w:bottom w:val="single" w:sz="8" w:color="auto"/>
            </w:tcBorders>
            <w:gridSpan w:val="3"/>
          </w:tcPr>
          <w:p>
            <w:pPr>
              <w:jc w:val="right"/>
              <w:ind w:right="1165"/>
              <w:spacing w:after="0"/>
              <w:rPr>
                <w:sz w:val="20"/>
                <w:szCs w:val="20"/>
                <w:color w:val="auto"/>
              </w:rPr>
            </w:pPr>
            <w:r>
              <w:rPr>
                <w:rFonts w:ascii="Arial" w:cs="Arial" w:eastAsia="Arial" w:hAnsi="Arial"/>
                <w:sz w:val="13"/>
                <w:szCs w:val="13"/>
                <w:b w:val="1"/>
                <w:bCs w:val="1"/>
                <w:color w:val="auto"/>
              </w:rPr>
              <w:t>Years Ended</w:t>
            </w:r>
          </w:p>
        </w:tc>
      </w:tr>
      <w:tr>
        <w:trPr>
          <w:trHeight w:val="264"/>
        </w:trPr>
        <w:tc>
          <w:tcPr>
            <w:tcW w:w="4700" w:type="dxa"/>
            <w:vAlign w:val="bottom"/>
          </w:tcPr>
          <w:p>
            <w:pPr>
              <w:spacing w:after="0"/>
              <w:rPr>
                <w:sz w:val="22"/>
                <w:szCs w:val="22"/>
                <w:color w:val="auto"/>
              </w:rPr>
            </w:pPr>
          </w:p>
        </w:tc>
        <w:tc>
          <w:tcPr>
            <w:tcW w:w="1720" w:type="dxa"/>
            <w:vAlign w:val="bottom"/>
            <w:gridSpan w:val="2"/>
          </w:tcPr>
          <w:p>
            <w:pPr>
              <w:ind w:left="240"/>
              <w:spacing w:after="0"/>
              <w:rPr>
                <w:sz w:val="20"/>
                <w:szCs w:val="20"/>
                <w:color w:val="auto"/>
              </w:rPr>
            </w:pPr>
            <w:r>
              <w:rPr>
                <w:rFonts w:ascii="Arial" w:cs="Arial" w:eastAsia="Arial" w:hAnsi="Arial"/>
                <w:sz w:val="13"/>
                <w:szCs w:val="13"/>
                <w:b w:val="1"/>
                <w:bCs w:val="1"/>
                <w:color w:val="auto"/>
              </w:rPr>
              <w:t>December 31, 2018</w:t>
            </w:r>
          </w:p>
        </w:tc>
        <w:tc>
          <w:tcPr>
            <w:tcW w:w="1740" w:type="dxa"/>
            <w:vAlign w:val="bottom"/>
            <w:gridSpan w:val="2"/>
          </w:tcPr>
          <w:p>
            <w:pPr>
              <w:ind w:left="240"/>
              <w:spacing w:after="0"/>
              <w:rPr>
                <w:sz w:val="20"/>
                <w:szCs w:val="20"/>
                <w:color w:val="auto"/>
              </w:rPr>
            </w:pPr>
            <w:r>
              <w:rPr>
                <w:rFonts w:ascii="Arial" w:cs="Arial" w:eastAsia="Arial" w:hAnsi="Arial"/>
                <w:sz w:val="13"/>
                <w:szCs w:val="13"/>
                <w:b w:val="1"/>
                <w:bCs w:val="1"/>
                <w:color w:val="auto"/>
              </w:rPr>
              <w:t>December 31, 2017</w:t>
            </w:r>
          </w:p>
        </w:tc>
        <w:tc>
          <w:tcPr>
            <w:tcW w:w="1680" w:type="dxa"/>
            <w:vAlign w:val="bottom"/>
            <w:gridSpan w:val="2"/>
          </w:tcPr>
          <w:p>
            <w:pPr>
              <w:ind w:left="220"/>
              <w:spacing w:after="0"/>
              <w:rPr>
                <w:sz w:val="20"/>
                <w:szCs w:val="20"/>
                <w:color w:val="auto"/>
              </w:rPr>
            </w:pPr>
            <w:r>
              <w:rPr>
                <w:rFonts w:ascii="Arial" w:cs="Arial" w:eastAsia="Arial" w:hAnsi="Arial"/>
                <w:sz w:val="13"/>
                <w:szCs w:val="13"/>
                <w:b w:val="1"/>
                <w:bCs w:val="1"/>
                <w:color w:val="auto"/>
              </w:rPr>
              <w:t>December 31, 2018</w:t>
            </w:r>
          </w:p>
        </w:tc>
        <w:tc>
          <w:tcPr>
            <w:tcW w:w="1580" w:type="dxa"/>
            <w:vAlign w:val="bottom"/>
          </w:tcPr>
          <w:p>
            <w:pPr>
              <w:jc w:val="right"/>
              <w:ind w:right="145"/>
              <w:spacing w:after="0"/>
              <w:rPr>
                <w:sz w:val="20"/>
                <w:szCs w:val="20"/>
                <w:color w:val="auto"/>
              </w:rPr>
            </w:pPr>
            <w:r>
              <w:rPr>
                <w:rFonts w:ascii="Arial" w:cs="Arial" w:eastAsia="Arial" w:hAnsi="Arial"/>
                <w:sz w:val="13"/>
                <w:szCs w:val="13"/>
                <w:b w:val="1"/>
                <w:bCs w:val="1"/>
                <w:color w:val="auto"/>
              </w:rPr>
              <w:t>December 31, 2017</w:t>
            </w:r>
          </w:p>
        </w:tc>
      </w:tr>
      <w:tr>
        <w:trPr>
          <w:trHeight w:val="254"/>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SAIC General Motors Sales Co., Ltd.</w:t>
            </w:r>
          </w:p>
        </w:tc>
        <w:tc>
          <w:tcPr>
            <w:tcW w:w="16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466</w:t>
            </w:r>
          </w:p>
        </w:tc>
        <w:tc>
          <w:tcPr>
            <w:tcW w:w="120" w:type="dxa"/>
            <w:vAlign w:val="bottom"/>
            <w:tcBorders>
              <w:top w:val="single" w:sz="8" w:color="CCEEFF"/>
            </w:tcBorders>
            <w:shd w:val="clear" w:color="auto" w:fill="CCEEFF"/>
          </w:tcPr>
          <w:p>
            <w:pPr>
              <w:spacing w:after="0"/>
              <w:rPr>
                <w:sz w:val="22"/>
                <w:szCs w:val="22"/>
                <w:color w:val="auto"/>
              </w:rPr>
            </w:pPr>
          </w:p>
        </w:tc>
        <w:tc>
          <w:tcPr>
            <w:tcW w:w="16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6"/>
                <w:szCs w:val="16"/>
                <w:color w:val="auto"/>
              </w:rPr>
              <w:t>599</w:t>
            </w:r>
          </w:p>
        </w:tc>
        <w:tc>
          <w:tcPr>
            <w:tcW w:w="120" w:type="dxa"/>
            <w:vAlign w:val="bottom"/>
            <w:tcBorders>
              <w:top w:val="single" w:sz="8" w:color="CCEEFF"/>
            </w:tcBorders>
            <w:shd w:val="clear" w:color="auto" w:fill="CCEEFF"/>
          </w:tcPr>
          <w:p>
            <w:pPr>
              <w:spacing w:after="0"/>
              <w:rPr>
                <w:sz w:val="22"/>
                <w:szCs w:val="22"/>
                <w:color w:val="auto"/>
              </w:rPr>
            </w:pPr>
          </w:p>
        </w:tc>
        <w:tc>
          <w:tcPr>
            <w:tcW w:w="15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6"/>
                <w:szCs w:val="16"/>
                <w:color w:val="auto"/>
              </w:rPr>
              <w:t>1,749</w:t>
            </w:r>
          </w:p>
        </w:tc>
        <w:tc>
          <w:tcPr>
            <w:tcW w:w="100" w:type="dxa"/>
            <w:vAlign w:val="bottom"/>
            <w:tcBorders>
              <w:top w:val="single" w:sz="8" w:color="CCEEFF"/>
            </w:tcBorders>
            <w:shd w:val="clear" w:color="auto" w:fill="CCEEFF"/>
          </w:tcPr>
          <w:p>
            <w:pPr>
              <w:spacing w:after="0"/>
              <w:rPr>
                <w:sz w:val="22"/>
                <w:szCs w:val="22"/>
                <w:color w:val="auto"/>
              </w:rPr>
            </w:pPr>
          </w:p>
        </w:tc>
        <w:tc>
          <w:tcPr>
            <w:tcW w:w="15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1,906</w:t>
            </w:r>
          </w:p>
        </w:tc>
      </w:tr>
      <w:tr>
        <w:trPr>
          <w:trHeight w:val="198"/>
        </w:trPr>
        <w:tc>
          <w:tcPr>
            <w:tcW w:w="4700" w:type="dxa"/>
            <w:vAlign w:val="bottom"/>
          </w:tcPr>
          <w:p>
            <w:pPr>
              <w:ind w:left="40"/>
              <w:spacing w:after="0"/>
              <w:rPr>
                <w:sz w:val="20"/>
                <w:szCs w:val="20"/>
                <w:color w:val="auto"/>
              </w:rPr>
            </w:pPr>
            <w:r>
              <w:rPr>
                <w:rFonts w:ascii="Arial" w:cs="Arial" w:eastAsia="Arial" w:hAnsi="Arial"/>
                <w:sz w:val="16"/>
                <w:szCs w:val="16"/>
                <w:color w:val="auto"/>
              </w:rPr>
              <w:t>SAIC GM Wuling Automobile Co., Ltd. and FAW-GM Light Duty</w:t>
            </w: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19"/>
        </w:trPr>
        <w:tc>
          <w:tcPr>
            <w:tcW w:w="4700" w:type="dxa"/>
            <w:vAlign w:val="bottom"/>
          </w:tcPr>
          <w:p>
            <w:pPr>
              <w:ind w:left="200"/>
              <w:spacing w:after="0"/>
              <w:rPr>
                <w:sz w:val="20"/>
                <w:szCs w:val="20"/>
                <w:color w:val="auto"/>
              </w:rPr>
            </w:pPr>
            <w:r>
              <w:rPr>
                <w:rFonts w:ascii="Arial" w:cs="Arial" w:eastAsia="Arial" w:hAnsi="Arial"/>
                <w:sz w:val="16"/>
                <w:szCs w:val="16"/>
                <w:color w:val="auto"/>
              </w:rPr>
              <w:t>Commercial Vehicle Co., Ltd.</w:t>
            </w:r>
          </w:p>
        </w:tc>
        <w:tc>
          <w:tcPr>
            <w:tcW w:w="1600" w:type="dxa"/>
            <w:vAlign w:val="bottom"/>
          </w:tcPr>
          <w:p>
            <w:pPr>
              <w:jc w:val="right"/>
              <w:ind w:right="46"/>
              <w:spacing w:after="0"/>
              <w:rPr>
                <w:sz w:val="20"/>
                <w:szCs w:val="20"/>
                <w:color w:val="auto"/>
              </w:rPr>
            </w:pPr>
            <w:r>
              <w:rPr>
                <w:rFonts w:ascii="Arial" w:cs="Arial" w:eastAsia="Arial" w:hAnsi="Arial"/>
                <w:sz w:val="16"/>
                <w:szCs w:val="16"/>
                <w:color w:val="auto"/>
              </w:rPr>
              <w:t>499</w:t>
            </w:r>
          </w:p>
        </w:tc>
        <w:tc>
          <w:tcPr>
            <w:tcW w:w="120" w:type="dxa"/>
            <w:vAlign w:val="bottom"/>
          </w:tcPr>
          <w:p>
            <w:pPr>
              <w:spacing w:after="0"/>
              <w:rPr>
                <w:sz w:val="19"/>
                <w:szCs w:val="19"/>
                <w:color w:val="auto"/>
              </w:rPr>
            </w:pPr>
          </w:p>
        </w:tc>
        <w:tc>
          <w:tcPr>
            <w:tcW w:w="1620" w:type="dxa"/>
            <w:vAlign w:val="bottom"/>
          </w:tcPr>
          <w:p>
            <w:pPr>
              <w:jc w:val="right"/>
              <w:ind w:right="65"/>
              <w:spacing w:after="0"/>
              <w:rPr>
                <w:sz w:val="20"/>
                <w:szCs w:val="20"/>
                <w:color w:val="auto"/>
              </w:rPr>
            </w:pPr>
            <w:r>
              <w:rPr>
                <w:rFonts w:ascii="Arial" w:cs="Arial" w:eastAsia="Arial" w:hAnsi="Arial"/>
                <w:sz w:val="16"/>
                <w:szCs w:val="16"/>
                <w:color w:val="auto"/>
              </w:rPr>
              <w:t>694</w:t>
            </w:r>
          </w:p>
        </w:tc>
        <w:tc>
          <w:tcPr>
            <w:tcW w:w="120" w:type="dxa"/>
            <w:vAlign w:val="bottom"/>
          </w:tcPr>
          <w:p>
            <w:pPr>
              <w:spacing w:after="0"/>
              <w:rPr>
                <w:sz w:val="19"/>
                <w:szCs w:val="19"/>
                <w:color w:val="auto"/>
              </w:rPr>
            </w:pPr>
          </w:p>
        </w:tc>
        <w:tc>
          <w:tcPr>
            <w:tcW w:w="1580" w:type="dxa"/>
            <w:vAlign w:val="bottom"/>
          </w:tcPr>
          <w:p>
            <w:pPr>
              <w:jc w:val="right"/>
              <w:ind w:right="48"/>
              <w:spacing w:after="0"/>
              <w:rPr>
                <w:sz w:val="20"/>
                <w:szCs w:val="20"/>
                <w:color w:val="auto"/>
              </w:rPr>
            </w:pPr>
            <w:r>
              <w:rPr>
                <w:rFonts w:ascii="Arial" w:cs="Arial" w:eastAsia="Arial" w:hAnsi="Arial"/>
                <w:sz w:val="16"/>
                <w:szCs w:val="16"/>
                <w:color w:val="auto"/>
              </w:rPr>
              <w:t>1,896</w:t>
            </w:r>
          </w:p>
        </w:tc>
        <w:tc>
          <w:tcPr>
            <w:tcW w:w="100" w:type="dxa"/>
            <w:vAlign w:val="bottom"/>
          </w:tcPr>
          <w:p>
            <w:pPr>
              <w:spacing w:after="0"/>
              <w:rPr>
                <w:sz w:val="19"/>
                <w:szCs w:val="19"/>
                <w:color w:val="auto"/>
              </w:rPr>
            </w:pPr>
          </w:p>
        </w:tc>
        <w:tc>
          <w:tcPr>
            <w:tcW w:w="1580" w:type="dxa"/>
            <w:vAlign w:val="bottom"/>
          </w:tcPr>
          <w:p>
            <w:pPr>
              <w:jc w:val="right"/>
              <w:ind w:right="25"/>
              <w:spacing w:after="0"/>
              <w:rPr>
                <w:sz w:val="20"/>
                <w:szCs w:val="20"/>
                <w:color w:val="auto"/>
              </w:rPr>
            </w:pPr>
            <w:r>
              <w:rPr>
                <w:rFonts w:ascii="Arial" w:cs="Arial" w:eastAsia="Arial" w:hAnsi="Arial"/>
                <w:sz w:val="16"/>
                <w:szCs w:val="16"/>
                <w:color w:val="auto"/>
              </w:rPr>
              <w:t>2,135</w:t>
            </w:r>
          </w:p>
        </w:tc>
      </w:tr>
      <w:tr>
        <w:trPr>
          <w:trHeight w:val="675"/>
        </w:trPr>
        <w:tc>
          <w:tcPr>
            <w:tcW w:w="4700" w:type="dxa"/>
            <w:vAlign w:val="bottom"/>
          </w:tcPr>
          <w:p>
            <w:pPr>
              <w:spacing w:after="0"/>
              <w:rPr>
                <w:sz w:val="24"/>
                <w:szCs w:val="24"/>
                <w:color w:val="auto"/>
              </w:rPr>
            </w:pPr>
          </w:p>
        </w:tc>
        <w:tc>
          <w:tcPr>
            <w:tcW w:w="1600" w:type="dxa"/>
            <w:vAlign w:val="bottom"/>
          </w:tcPr>
          <w:p>
            <w:pPr>
              <w:jc w:val="right"/>
              <w:ind w:right="466"/>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420"/>
          </w:cols>
          <w:pgMar w:left="240" w:top="552"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60" w:type="dxa"/>
            <w:vAlign w:val="bottom"/>
          </w:tcPr>
          <w:p>
            <w:pPr>
              <w:spacing w:after="0"/>
              <w:rPr>
                <w:sz w:val="15"/>
                <w:szCs w:val="15"/>
                <w:color w:val="auto"/>
              </w:rPr>
            </w:pPr>
          </w:p>
        </w:tc>
        <w:tc>
          <w:tcPr>
            <w:tcW w:w="3380" w:type="dxa"/>
            <w:vAlign w:val="bottom"/>
            <w:tcBorders>
              <w:bottom w:val="single" w:sz="8" w:color="auto"/>
            </w:tcBorders>
            <w:gridSpan w:val="3"/>
          </w:tcPr>
          <w:p>
            <w:pPr>
              <w:jc w:val="right"/>
              <w:ind w:right="98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5"/>
                <w:szCs w:val="15"/>
                <w:color w:val="auto"/>
              </w:rPr>
            </w:pPr>
          </w:p>
        </w:tc>
        <w:tc>
          <w:tcPr>
            <w:tcW w:w="3380" w:type="dxa"/>
            <w:vAlign w:val="bottom"/>
            <w:tcBorders>
              <w:bottom w:val="single" w:sz="8" w:color="auto"/>
            </w:tcBorders>
            <w:gridSpan w:val="3"/>
          </w:tcPr>
          <w:p>
            <w:pPr>
              <w:jc w:val="right"/>
              <w:ind w:right="1220"/>
              <w:spacing w:after="0"/>
              <w:rPr>
                <w:sz w:val="20"/>
                <w:szCs w:val="20"/>
                <w:color w:val="auto"/>
              </w:rPr>
            </w:pPr>
            <w:r>
              <w:rPr>
                <w:rFonts w:ascii="Arial" w:cs="Arial" w:eastAsia="Arial" w:hAnsi="Arial"/>
                <w:sz w:val="13"/>
                <w:szCs w:val="13"/>
                <w:b w:val="1"/>
                <w:bCs w:val="1"/>
                <w:color w:val="auto"/>
              </w:rPr>
              <w:t>Years Ended</w:t>
            </w:r>
          </w:p>
        </w:tc>
      </w:tr>
      <w:tr>
        <w:trPr>
          <w:trHeight w:val="261"/>
        </w:trPr>
        <w:tc>
          <w:tcPr>
            <w:tcW w:w="4560" w:type="dxa"/>
            <w:vAlign w:val="bottom"/>
          </w:tcPr>
          <w:p>
            <w:pPr>
              <w:spacing w:after="0"/>
              <w:rPr>
                <w:sz w:val="22"/>
                <w:szCs w:val="22"/>
                <w:color w:val="auto"/>
              </w:rPr>
            </w:pPr>
          </w:p>
        </w:tc>
        <w:tc>
          <w:tcPr>
            <w:tcW w:w="1740" w:type="dxa"/>
            <w:vAlign w:val="bottom"/>
            <w:gridSpan w:val="2"/>
          </w:tcPr>
          <w:p>
            <w:pPr>
              <w:ind w:left="240"/>
              <w:spacing w:after="0"/>
              <w:rPr>
                <w:sz w:val="20"/>
                <w:szCs w:val="20"/>
                <w:color w:val="auto"/>
              </w:rPr>
            </w:pPr>
            <w:r>
              <w:rPr>
                <w:rFonts w:ascii="Arial" w:cs="Arial" w:eastAsia="Arial" w:hAnsi="Arial"/>
                <w:sz w:val="13"/>
                <w:szCs w:val="13"/>
                <w:b w:val="1"/>
                <w:bCs w:val="1"/>
                <w:color w:val="auto"/>
              </w:rPr>
              <w:t>December 31, 2018</w:t>
            </w:r>
          </w:p>
        </w:tc>
        <w:tc>
          <w:tcPr>
            <w:tcW w:w="1740" w:type="dxa"/>
            <w:vAlign w:val="bottom"/>
            <w:gridSpan w:val="2"/>
          </w:tcPr>
          <w:p>
            <w:pPr>
              <w:ind w:left="260"/>
              <w:spacing w:after="0"/>
              <w:rPr>
                <w:sz w:val="20"/>
                <w:szCs w:val="20"/>
                <w:color w:val="auto"/>
              </w:rPr>
            </w:pPr>
            <w:r>
              <w:rPr>
                <w:rFonts w:ascii="Arial" w:cs="Arial" w:eastAsia="Arial" w:hAnsi="Arial"/>
                <w:sz w:val="13"/>
                <w:szCs w:val="13"/>
                <w:b w:val="1"/>
                <w:bCs w:val="1"/>
                <w:color w:val="auto"/>
              </w:rPr>
              <w:t>December 31, 2017</w:t>
            </w:r>
          </w:p>
        </w:tc>
        <w:tc>
          <w:tcPr>
            <w:tcW w:w="1740" w:type="dxa"/>
            <w:vAlign w:val="bottom"/>
            <w:gridSpan w:val="2"/>
          </w:tcPr>
          <w:p>
            <w:pPr>
              <w:ind w:left="260"/>
              <w:spacing w:after="0"/>
              <w:rPr>
                <w:sz w:val="20"/>
                <w:szCs w:val="20"/>
                <w:color w:val="auto"/>
              </w:rPr>
            </w:pPr>
            <w:r>
              <w:rPr>
                <w:rFonts w:ascii="Arial" w:cs="Arial" w:eastAsia="Arial" w:hAnsi="Arial"/>
                <w:sz w:val="13"/>
                <w:szCs w:val="13"/>
                <w:b w:val="1"/>
                <w:bCs w:val="1"/>
                <w:color w:val="auto"/>
              </w:rPr>
              <w:t>December 31, 2018</w:t>
            </w:r>
          </w:p>
        </w:tc>
        <w:tc>
          <w:tcPr>
            <w:tcW w:w="1640" w:type="dxa"/>
            <w:vAlign w:val="bottom"/>
          </w:tcPr>
          <w:p>
            <w:pPr>
              <w:jc w:val="right"/>
              <w:ind w:right="160"/>
              <w:spacing w:after="0"/>
              <w:rPr>
                <w:sz w:val="20"/>
                <w:szCs w:val="20"/>
                <w:color w:val="auto"/>
              </w:rPr>
            </w:pPr>
            <w:r>
              <w:rPr>
                <w:rFonts w:ascii="Arial" w:cs="Arial" w:eastAsia="Arial" w:hAnsi="Arial"/>
                <w:sz w:val="13"/>
                <w:szCs w:val="13"/>
                <w:b w:val="1"/>
                <w:bCs w:val="1"/>
                <w:color w:val="auto"/>
              </w:rPr>
              <w:t>December 31, 2017</w:t>
            </w:r>
          </w:p>
        </w:tc>
      </w:tr>
      <w:tr>
        <w:trPr>
          <w:trHeight w:val="262"/>
        </w:trPr>
        <w:tc>
          <w:tcPr>
            <w:tcW w:w="4560" w:type="dxa"/>
            <w:vAlign w:val="bottom"/>
          </w:tcPr>
          <w:p>
            <w:pPr>
              <w:ind w:left="40"/>
              <w:spacing w:after="0"/>
              <w:rPr>
                <w:sz w:val="20"/>
                <w:szCs w:val="20"/>
                <w:color w:val="auto"/>
              </w:rPr>
            </w:pPr>
            <w:r>
              <w:rPr>
                <w:rFonts w:ascii="Arial" w:cs="Arial" w:eastAsia="Arial" w:hAnsi="Arial"/>
                <w:sz w:val="16"/>
                <w:szCs w:val="16"/>
                <w:color w:val="auto"/>
              </w:rPr>
              <w:t>Market Share</w:t>
            </w:r>
          </w:p>
        </w:tc>
        <w:tc>
          <w:tcPr>
            <w:tcW w:w="1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Borders>
              <w:top w:val="single" w:sz="8" w:color="auto"/>
            </w:tcBorders>
          </w:tcPr>
          <w:p>
            <w:pPr>
              <w:spacing w:after="0"/>
              <w:rPr>
                <w:sz w:val="22"/>
                <w:szCs w:val="22"/>
                <w:color w:val="auto"/>
              </w:rPr>
            </w:pPr>
          </w:p>
        </w:tc>
      </w:tr>
      <w:tr>
        <w:trPr>
          <w:trHeight w:val="278"/>
        </w:trPr>
        <w:tc>
          <w:tcPr>
            <w:tcW w:w="4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United States – Cars</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62"/>
        </w:trPr>
        <w:tc>
          <w:tcPr>
            <w:tcW w:w="4560" w:type="dxa"/>
            <w:vAlign w:val="bottom"/>
          </w:tcPr>
          <w:p>
            <w:pPr>
              <w:ind w:left="200"/>
              <w:spacing w:after="0"/>
              <w:rPr>
                <w:sz w:val="20"/>
                <w:szCs w:val="20"/>
                <w:color w:val="auto"/>
              </w:rPr>
            </w:pPr>
            <w:r>
              <w:rPr>
                <w:rFonts w:ascii="Arial" w:cs="Arial" w:eastAsia="Arial" w:hAnsi="Arial"/>
                <w:sz w:val="16"/>
                <w:szCs w:val="16"/>
                <w:color w:val="auto"/>
              </w:rPr>
              <w:t>United States – Trucks</w:t>
            </w:r>
          </w:p>
        </w:tc>
        <w:tc>
          <w:tcPr>
            <w:tcW w:w="1640" w:type="dxa"/>
            <w:vAlign w:val="bottom"/>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26.3%</w:t>
            </w:r>
          </w:p>
        </w:tc>
      </w:tr>
      <w:tr>
        <w:trPr>
          <w:trHeight w:val="278"/>
        </w:trPr>
        <w:tc>
          <w:tcPr>
            <w:tcW w:w="4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United States – Crossovers</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62"/>
        </w:trPr>
        <w:tc>
          <w:tcPr>
            <w:tcW w:w="4560" w:type="dxa"/>
            <w:vAlign w:val="bottom"/>
          </w:tcPr>
          <w:p>
            <w:pPr>
              <w:ind w:left="200"/>
              <w:spacing w:after="0"/>
              <w:rPr>
                <w:sz w:val="20"/>
                <w:szCs w:val="20"/>
                <w:color w:val="auto"/>
              </w:rPr>
            </w:pPr>
            <w:r>
              <w:rPr>
                <w:rFonts w:ascii="Arial" w:cs="Arial" w:eastAsia="Arial" w:hAnsi="Arial"/>
                <w:sz w:val="16"/>
                <w:szCs w:val="16"/>
                <w:color w:val="auto"/>
              </w:rPr>
              <w:t>Total United States</w:t>
            </w:r>
          </w:p>
        </w:tc>
        <w:tc>
          <w:tcPr>
            <w:tcW w:w="1640" w:type="dxa"/>
            <w:vAlign w:val="bottom"/>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17.1%</w:t>
            </w:r>
          </w:p>
        </w:tc>
      </w:tr>
      <w:tr>
        <w:trPr>
          <w:trHeight w:val="278"/>
        </w:trPr>
        <w:tc>
          <w:tcPr>
            <w:tcW w:w="4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North America</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r>
      <w:tr>
        <w:trPr>
          <w:trHeight w:val="262"/>
        </w:trPr>
        <w:tc>
          <w:tcPr>
            <w:tcW w:w="4560" w:type="dxa"/>
            <w:vAlign w:val="bottom"/>
          </w:tcPr>
          <w:p>
            <w:pPr>
              <w:ind w:left="200"/>
              <w:spacing w:after="0"/>
              <w:rPr>
                <w:sz w:val="20"/>
                <w:szCs w:val="20"/>
                <w:color w:val="auto"/>
              </w:rPr>
            </w:pPr>
            <w:r>
              <w:rPr>
                <w:rFonts w:ascii="Arial" w:cs="Arial" w:eastAsia="Arial" w:hAnsi="Arial"/>
                <w:sz w:val="16"/>
                <w:szCs w:val="16"/>
                <w:color w:val="auto"/>
              </w:rPr>
              <w:t>Total Asia/Pacific, Middle East and Africa</w:t>
            </w:r>
          </w:p>
        </w:tc>
        <w:tc>
          <w:tcPr>
            <w:tcW w:w="164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78"/>
        </w:trPr>
        <w:tc>
          <w:tcPr>
            <w:tcW w:w="4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South America</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r>
      <w:tr>
        <w:trPr>
          <w:trHeight w:val="262"/>
        </w:trPr>
        <w:tc>
          <w:tcPr>
            <w:tcW w:w="4560" w:type="dxa"/>
            <w:vAlign w:val="bottom"/>
          </w:tcPr>
          <w:p>
            <w:pPr>
              <w:ind w:left="40"/>
              <w:spacing w:after="0"/>
              <w:rPr>
                <w:sz w:val="20"/>
                <w:szCs w:val="20"/>
                <w:color w:val="auto"/>
              </w:rPr>
            </w:pPr>
            <w:r>
              <w:rPr>
                <w:rFonts w:ascii="Arial" w:cs="Arial" w:eastAsia="Arial" w:hAnsi="Arial"/>
                <w:sz w:val="16"/>
                <w:szCs w:val="16"/>
                <w:color w:val="auto"/>
              </w:rPr>
              <w:t>Total GM Market</w:t>
            </w:r>
          </w:p>
        </w:tc>
        <w:tc>
          <w:tcPr>
            <w:tcW w:w="164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11.8%</w:t>
            </w:r>
          </w:p>
        </w:tc>
      </w:tr>
      <w:tr>
        <w:trPr>
          <w:trHeight w:val="278"/>
        </w:trPr>
        <w:tc>
          <w:tcPr>
            <w:tcW w:w="4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Europe</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62"/>
        </w:trPr>
        <w:tc>
          <w:tcPr>
            <w:tcW w:w="4560" w:type="dxa"/>
            <w:vAlign w:val="bottom"/>
          </w:tcPr>
          <w:p>
            <w:pPr>
              <w:ind w:left="40"/>
              <w:spacing w:after="0"/>
              <w:rPr>
                <w:sz w:val="20"/>
                <w:szCs w:val="20"/>
                <w:color w:val="auto"/>
              </w:rPr>
            </w:pPr>
            <w:r>
              <w:rPr>
                <w:rFonts w:ascii="Arial" w:cs="Arial" w:eastAsia="Arial" w:hAnsi="Arial"/>
                <w:sz w:val="16"/>
                <w:szCs w:val="16"/>
                <w:color w:val="auto"/>
              </w:rPr>
              <w:t>Total Worldwide</w:t>
            </w:r>
          </w:p>
        </w:tc>
        <w:tc>
          <w:tcPr>
            <w:tcW w:w="164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170"/>
        </w:trPr>
        <w:tc>
          <w:tcPr>
            <w:tcW w:w="45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r>
      <w:tr>
        <w:trPr>
          <w:trHeight w:val="198"/>
        </w:trPr>
        <w:tc>
          <w:tcPr>
            <w:tcW w:w="4560" w:type="dxa"/>
            <w:vAlign w:val="bottom"/>
          </w:tcPr>
          <w:p>
            <w:pPr>
              <w:ind w:left="40"/>
              <w:spacing w:after="0"/>
              <w:rPr>
                <w:sz w:val="20"/>
                <w:szCs w:val="20"/>
                <w:color w:val="auto"/>
              </w:rPr>
            </w:pPr>
            <w:r>
              <w:rPr>
                <w:rFonts w:ascii="Arial" w:cs="Arial" w:eastAsia="Arial" w:hAnsi="Arial"/>
                <w:sz w:val="16"/>
                <w:szCs w:val="16"/>
                <w:color w:val="auto"/>
              </w:rPr>
              <w:t>United States fleet sales as a percentage of retail vehicle</w:t>
            </w: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26"/>
        </w:trPr>
        <w:tc>
          <w:tcPr>
            <w:tcW w:w="4560" w:type="dxa"/>
            <w:vAlign w:val="bottom"/>
          </w:tcPr>
          <w:p>
            <w:pPr>
              <w:ind w:left="200"/>
              <w:spacing w:after="0"/>
              <w:rPr>
                <w:sz w:val="20"/>
                <w:szCs w:val="20"/>
                <w:color w:val="auto"/>
              </w:rPr>
            </w:pPr>
            <w:r>
              <w:rPr>
                <w:rFonts w:ascii="Arial" w:cs="Arial" w:eastAsia="Arial" w:hAnsi="Arial"/>
                <w:sz w:val="16"/>
                <w:szCs w:val="16"/>
                <w:color w:val="auto"/>
              </w:rPr>
              <w:t>sales</w:t>
            </w:r>
          </w:p>
        </w:tc>
        <w:tc>
          <w:tcPr>
            <w:tcW w:w="1640" w:type="dxa"/>
            <w:vAlign w:val="bottom"/>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19.2%</w:t>
            </w:r>
          </w:p>
        </w:tc>
      </w:tr>
      <w:tr>
        <w:trPr>
          <w:trHeight w:val="170"/>
        </w:trPr>
        <w:tc>
          <w:tcPr>
            <w:tcW w:w="45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r>
      <w:tr>
        <w:trPr>
          <w:trHeight w:val="255"/>
        </w:trPr>
        <w:tc>
          <w:tcPr>
            <w:tcW w:w="4560" w:type="dxa"/>
            <w:vAlign w:val="bottom"/>
          </w:tcPr>
          <w:p>
            <w:pPr>
              <w:ind w:left="40"/>
              <w:spacing w:after="0"/>
              <w:rPr>
                <w:sz w:val="20"/>
                <w:szCs w:val="20"/>
                <w:color w:val="auto"/>
              </w:rPr>
            </w:pPr>
            <w:r>
              <w:rPr>
                <w:rFonts w:ascii="Arial" w:cs="Arial" w:eastAsia="Arial" w:hAnsi="Arial"/>
                <w:sz w:val="16"/>
                <w:szCs w:val="16"/>
                <w:color w:val="auto"/>
              </w:rPr>
              <w:t>North America capacity two shift utilization</w:t>
            </w:r>
          </w:p>
        </w:tc>
        <w:tc>
          <w:tcPr>
            <w:tcW w:w="1640" w:type="dxa"/>
            <w:vAlign w:val="bottom"/>
          </w:tcPr>
          <w:p>
            <w:pPr>
              <w:jc w:val="right"/>
              <w:spacing w:after="0"/>
              <w:rPr>
                <w:sz w:val="20"/>
                <w:szCs w:val="20"/>
                <w:color w:val="auto"/>
              </w:rPr>
            </w:pPr>
            <w:r>
              <w:rPr>
                <w:rFonts w:ascii="Arial" w:cs="Arial" w:eastAsia="Arial" w:hAnsi="Arial"/>
                <w:sz w:val="16"/>
                <w:szCs w:val="16"/>
                <w:color w:val="auto"/>
              </w:rPr>
              <w:t>93.6%</w:t>
            </w:r>
          </w:p>
        </w:tc>
        <w:tc>
          <w:tcPr>
            <w:tcW w:w="10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97.6%</w:t>
            </w:r>
          </w:p>
        </w:tc>
        <w:tc>
          <w:tcPr>
            <w:tcW w:w="10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97.0%</w:t>
            </w:r>
          </w:p>
        </w:tc>
        <w:tc>
          <w:tcPr>
            <w:tcW w:w="10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552"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Combining Income Statement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millions) (Unaudited)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6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8"/>
          </w:tcPr>
          <w:p>
            <w:pPr>
              <w:ind w:left="240"/>
              <w:spacing w:after="0"/>
              <w:rPr>
                <w:sz w:val="20"/>
                <w:szCs w:val="20"/>
                <w:color w:val="auto"/>
              </w:rPr>
            </w:pPr>
            <w:r>
              <w:rPr>
                <w:rFonts w:ascii="Arial" w:cs="Arial" w:eastAsia="Arial" w:hAnsi="Arial"/>
                <w:sz w:val="11"/>
                <w:szCs w:val="11"/>
                <w:b w:val="1"/>
                <w:bCs w:val="1"/>
                <w:color w:val="auto"/>
              </w:rPr>
              <w:t>Year Ended December 31, 2018</w:t>
            </w: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8"/>
          </w:tcPr>
          <w:p>
            <w:pPr>
              <w:ind w:left="220"/>
              <w:spacing w:after="0"/>
              <w:rPr>
                <w:sz w:val="20"/>
                <w:szCs w:val="20"/>
                <w:color w:val="auto"/>
              </w:rPr>
            </w:pPr>
            <w:r>
              <w:rPr>
                <w:rFonts w:ascii="Arial" w:cs="Arial" w:eastAsia="Arial" w:hAnsi="Arial"/>
                <w:sz w:val="11"/>
                <w:szCs w:val="11"/>
                <w:b w:val="1"/>
                <w:bCs w:val="1"/>
                <w:color w:val="auto"/>
              </w:rPr>
              <w:t>Year Ended December 31, 2017</w:t>
            </w: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GM</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GM</w:t>
            </w:r>
          </w:p>
        </w:tc>
        <w:tc>
          <w:tcPr>
            <w:tcW w:w="12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GM</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720" w:type="dxa"/>
            <w:vAlign w:val="bottom"/>
            <w:gridSpan w:val="3"/>
          </w:tcPr>
          <w:p>
            <w:pPr>
              <w:ind w:left="20"/>
              <w:spacing w:after="0"/>
              <w:rPr>
                <w:sz w:val="20"/>
                <w:szCs w:val="20"/>
                <w:color w:val="auto"/>
              </w:rPr>
            </w:pPr>
            <w:r>
              <w:rPr>
                <w:rFonts w:ascii="Arial" w:cs="Arial" w:eastAsia="Arial" w:hAnsi="Arial"/>
                <w:sz w:val="11"/>
                <w:szCs w:val="11"/>
                <w:b w:val="1"/>
                <w:bCs w:val="1"/>
                <w:color w:val="auto"/>
              </w:rPr>
              <w:t>GM Cruise</w:t>
            </w:r>
          </w:p>
        </w:tc>
        <w:tc>
          <w:tcPr>
            <w:tcW w:w="100" w:type="dxa"/>
            <w:vAlign w:val="bottom"/>
          </w:tcPr>
          <w:p>
            <w:pPr>
              <w:spacing w:after="0"/>
              <w:rPr>
                <w:sz w:val="13"/>
                <w:szCs w:val="13"/>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Financial</w:t>
            </w:r>
          </w:p>
        </w:tc>
        <w:tc>
          <w:tcPr>
            <w:tcW w:w="12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Pr>
          <w:p>
            <w:pPr>
              <w:spacing w:after="0"/>
              <w:rPr>
                <w:sz w:val="13"/>
                <w:szCs w:val="13"/>
                <w:color w:val="auto"/>
              </w:rPr>
            </w:pPr>
          </w:p>
        </w:tc>
        <w:tc>
          <w:tcPr>
            <w:tcW w:w="680" w:type="dxa"/>
            <w:vAlign w:val="bottom"/>
          </w:tcPr>
          <w:p>
            <w:pPr>
              <w:jc w:val="right"/>
              <w:ind w:right="69"/>
              <w:spacing w:after="0"/>
              <w:rPr>
                <w:sz w:val="20"/>
                <w:szCs w:val="20"/>
                <w:color w:val="auto"/>
              </w:rPr>
            </w:pPr>
            <w:r>
              <w:rPr>
                <w:rFonts w:ascii="Arial" w:cs="Arial" w:eastAsia="Arial" w:hAnsi="Arial"/>
                <w:sz w:val="11"/>
                <w:szCs w:val="11"/>
                <w:b w:val="1"/>
                <w:bCs w:val="1"/>
                <w:color w:val="auto"/>
                <w:w w:val="96"/>
              </w:rPr>
              <w:t>Combined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13"/>
                <w:szCs w:val="13"/>
                <w:color w:val="auto"/>
              </w:rPr>
            </w:pPr>
          </w:p>
        </w:tc>
        <w:tc>
          <w:tcPr>
            <w:tcW w:w="5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9"/>
              </w:rPr>
              <w:t>Cruise</w:t>
            </w:r>
          </w:p>
        </w:tc>
        <w:tc>
          <w:tcPr>
            <w:tcW w:w="78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rPr>
              <w:t>Financial</w:t>
            </w:r>
          </w:p>
        </w:tc>
        <w:tc>
          <w:tcPr>
            <w:tcW w:w="12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13"/>
                <w:szCs w:val="13"/>
                <w:color w:val="auto"/>
              </w:rPr>
            </w:pPr>
          </w:p>
        </w:tc>
        <w:tc>
          <w:tcPr>
            <w:tcW w:w="660" w:type="dxa"/>
            <w:vAlign w:val="bottom"/>
          </w:tcPr>
          <w:p>
            <w:pPr>
              <w:jc w:val="right"/>
              <w:ind w:right="49"/>
              <w:spacing w:after="0"/>
              <w:rPr>
                <w:sz w:val="20"/>
                <w:szCs w:val="20"/>
                <w:color w:val="auto"/>
              </w:rPr>
            </w:pPr>
            <w:r>
              <w:rPr>
                <w:rFonts w:ascii="Arial" w:cs="Arial" w:eastAsia="Arial" w:hAnsi="Arial"/>
                <w:sz w:val="11"/>
                <w:szCs w:val="11"/>
                <w:b w:val="1"/>
                <w:bCs w:val="1"/>
                <w:color w:val="auto"/>
                <w:w w:val="96"/>
              </w:rPr>
              <w:t>Combined</w:t>
            </w:r>
          </w:p>
        </w:tc>
        <w:tc>
          <w:tcPr>
            <w:tcW w:w="0" w:type="dxa"/>
            <w:vAlign w:val="bottom"/>
          </w:tcPr>
          <w:p>
            <w:pPr>
              <w:spacing w:after="0"/>
              <w:rPr>
                <w:sz w:val="1"/>
                <w:szCs w:val="1"/>
                <w:color w:val="auto"/>
              </w:rPr>
            </w:pPr>
          </w:p>
        </w:tc>
      </w:tr>
      <w:tr>
        <w:trPr>
          <w:trHeight w:val="195"/>
        </w:trPr>
        <w:tc>
          <w:tcPr>
            <w:tcW w:w="2640" w:type="dxa"/>
            <w:vAlign w:val="bottom"/>
          </w:tcPr>
          <w:p>
            <w:pPr>
              <w:ind w:left="40"/>
              <w:spacing w:after="0"/>
              <w:rPr>
                <w:sz w:val="20"/>
                <w:szCs w:val="20"/>
                <w:color w:val="auto"/>
              </w:rPr>
            </w:pPr>
            <w:r>
              <w:rPr>
                <w:rFonts w:ascii="Arial" w:cs="Arial" w:eastAsia="Arial" w:hAnsi="Arial"/>
                <w:sz w:val="14"/>
                <w:szCs w:val="14"/>
                <w:color w:val="auto"/>
              </w:rPr>
              <w:t>Net sales and revenue</w:t>
            </w: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2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Automotive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133,143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133,045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133,607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133,449</w:t>
            </w:r>
          </w:p>
        </w:tc>
        <w:tc>
          <w:tcPr>
            <w:tcW w:w="0" w:type="dxa"/>
            <w:vAlign w:val="bottom"/>
          </w:tcPr>
          <w:p>
            <w:pPr>
              <w:spacing w:after="0"/>
              <w:rPr>
                <w:sz w:val="1"/>
                <w:szCs w:val="1"/>
                <w:color w:val="auto"/>
              </w:rPr>
            </w:pPr>
          </w:p>
        </w:tc>
      </w:tr>
      <w:tr>
        <w:trPr>
          <w:trHeight w:val="266"/>
        </w:trPr>
        <w:tc>
          <w:tcPr>
            <w:tcW w:w="26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GM Financial</w:t>
            </w:r>
          </w:p>
        </w:tc>
        <w:tc>
          <w:tcPr>
            <w:tcW w:w="1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14,016</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14,004</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97"/>
              </w:rPr>
              <w:t>12,151</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12,139</w:t>
            </w:r>
          </w:p>
        </w:tc>
        <w:tc>
          <w:tcPr>
            <w:tcW w:w="0" w:type="dxa"/>
            <w:vAlign w:val="bottom"/>
          </w:tcPr>
          <w:p>
            <w:pPr>
              <w:spacing w:after="0"/>
              <w:rPr>
                <w:sz w:val="1"/>
                <w:szCs w:val="1"/>
                <w:color w:val="auto"/>
              </w:rPr>
            </w:pPr>
          </w:p>
        </w:tc>
      </w:tr>
      <w:tr>
        <w:trPr>
          <w:trHeight w:val="268"/>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net sales and revenue</w:t>
            </w: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133,143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14,016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147,049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133,607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7"/>
              </w:rPr>
              <w:t>12,151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145,588</w:t>
            </w:r>
          </w:p>
        </w:tc>
        <w:tc>
          <w:tcPr>
            <w:tcW w:w="0" w:type="dxa"/>
            <w:vAlign w:val="bottom"/>
          </w:tcPr>
          <w:p>
            <w:pPr>
              <w:spacing w:after="0"/>
              <w:rPr>
                <w:sz w:val="1"/>
                <w:szCs w:val="1"/>
                <w:color w:val="auto"/>
              </w:rPr>
            </w:pPr>
          </w:p>
        </w:tc>
      </w:tr>
      <w:tr>
        <w:trPr>
          <w:trHeight w:val="188"/>
        </w:trPr>
        <w:tc>
          <w:tcPr>
            <w:tcW w:w="2640" w:type="dxa"/>
            <w:vAlign w:val="bottom"/>
          </w:tcPr>
          <w:p>
            <w:pPr>
              <w:ind w:left="40"/>
              <w:spacing w:after="0"/>
              <w:rPr>
                <w:sz w:val="20"/>
                <w:szCs w:val="20"/>
                <w:color w:val="auto"/>
              </w:rPr>
            </w:pPr>
            <w:r>
              <w:rPr>
                <w:rFonts w:ascii="Arial" w:cs="Arial" w:eastAsia="Arial" w:hAnsi="Arial"/>
                <w:sz w:val="14"/>
                <w:szCs w:val="14"/>
                <w:color w:val="auto"/>
              </w:rPr>
              <w:t>Costs and expenses</w:t>
            </w: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2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Automotive and other cost of sales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120,041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44"/>
              <w:spacing w:after="0"/>
              <w:rPr>
                <w:sz w:val="20"/>
                <w:szCs w:val="20"/>
                <w:color w:val="auto"/>
              </w:rPr>
            </w:pPr>
            <w:r>
              <w:rPr>
                <w:rFonts w:ascii="Arial" w:cs="Arial" w:eastAsia="Arial" w:hAnsi="Arial"/>
                <w:sz w:val="14"/>
                <w:szCs w:val="14"/>
                <w:color w:val="auto"/>
              </w:rPr>
              <w:t>715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120,656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115,800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116,229</w:t>
            </w:r>
          </w:p>
        </w:tc>
        <w:tc>
          <w:tcPr>
            <w:tcW w:w="0" w:type="dxa"/>
            <w:vAlign w:val="bottom"/>
          </w:tcPr>
          <w:p>
            <w:pPr>
              <w:spacing w:after="0"/>
              <w:rPr>
                <w:sz w:val="1"/>
                <w:szCs w:val="1"/>
                <w:color w:val="auto"/>
              </w:rPr>
            </w:pPr>
          </w:p>
        </w:tc>
      </w:tr>
      <w:tr>
        <w:trPr>
          <w:trHeight w:val="176"/>
        </w:trPr>
        <w:tc>
          <w:tcPr>
            <w:tcW w:w="2640" w:type="dxa"/>
            <w:vAlign w:val="bottom"/>
          </w:tcPr>
          <w:p>
            <w:pPr>
              <w:ind w:left="180"/>
              <w:spacing w:after="0"/>
              <w:rPr>
                <w:sz w:val="20"/>
                <w:szCs w:val="20"/>
                <w:color w:val="auto"/>
              </w:rPr>
            </w:pPr>
            <w:r>
              <w:rPr>
                <w:rFonts w:ascii="Arial" w:cs="Arial" w:eastAsia="Arial" w:hAnsi="Arial"/>
                <w:sz w:val="14"/>
                <w:szCs w:val="14"/>
                <w:color w:val="auto"/>
              </w:rPr>
              <w:t>GM Financial interest, operating and</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640" w:type="dxa"/>
            <w:vAlign w:val="bottom"/>
          </w:tcPr>
          <w:p>
            <w:pPr>
              <w:ind w:left="340"/>
              <w:spacing w:after="0"/>
              <w:rPr>
                <w:sz w:val="20"/>
                <w:szCs w:val="20"/>
                <w:color w:val="auto"/>
              </w:rPr>
            </w:pPr>
            <w:r>
              <w:rPr>
                <w:rFonts w:ascii="Arial" w:cs="Arial" w:eastAsia="Arial" w:hAnsi="Arial"/>
                <w:sz w:val="14"/>
                <w:szCs w:val="14"/>
                <w:color w:val="auto"/>
              </w:rPr>
              <w:t>other expenses</w:t>
            </w: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51"/>
              <w:spacing w:after="0"/>
              <w:rPr>
                <w:sz w:val="20"/>
                <w:szCs w:val="20"/>
                <w:color w:val="auto"/>
              </w:rPr>
            </w:pPr>
            <w:r>
              <w:rPr>
                <w:rFonts w:ascii="Arial" w:cs="Arial" w:eastAsia="Arial" w:hAnsi="Arial"/>
                <w:sz w:val="14"/>
                <w:szCs w:val="14"/>
                <w:color w:val="auto"/>
              </w:rPr>
              <w:t>12,306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12,298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w w:val="97"/>
              </w:rPr>
              <w:t>11,128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11,128</w:t>
            </w:r>
          </w:p>
        </w:tc>
        <w:tc>
          <w:tcPr>
            <w:tcW w:w="0" w:type="dxa"/>
            <w:vAlign w:val="bottom"/>
          </w:tcPr>
          <w:p>
            <w:pPr>
              <w:spacing w:after="0"/>
              <w:rPr>
                <w:sz w:val="1"/>
                <w:szCs w:val="1"/>
                <w:color w:val="auto"/>
              </w:rPr>
            </w:pPr>
          </w:p>
        </w:tc>
      </w:tr>
      <w:tr>
        <w:trPr>
          <w:trHeight w:val="180"/>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Automotive and other selling, general</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6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and administrative expense</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9,624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44"/>
              <w:spacing w:after="0"/>
              <w:rPr>
                <w:sz w:val="20"/>
                <w:szCs w:val="20"/>
                <w:color w:val="auto"/>
              </w:rPr>
            </w:pPr>
            <w:r>
              <w:rPr>
                <w:rFonts w:ascii="Arial" w:cs="Arial" w:eastAsia="Arial" w:hAnsi="Arial"/>
                <w:sz w:val="14"/>
                <w:szCs w:val="14"/>
                <w:color w:val="auto"/>
              </w:rPr>
              <w:t>26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9,650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9,549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9,570</w:t>
            </w:r>
          </w:p>
        </w:tc>
        <w:tc>
          <w:tcPr>
            <w:tcW w:w="0" w:type="dxa"/>
            <w:vAlign w:val="bottom"/>
          </w:tcPr>
          <w:p>
            <w:pPr>
              <w:spacing w:after="0"/>
              <w:rPr>
                <w:sz w:val="1"/>
                <w:szCs w:val="1"/>
                <w:color w:val="auto"/>
              </w:rPr>
            </w:pPr>
          </w:p>
        </w:tc>
      </w:tr>
      <w:tr>
        <w:trPr>
          <w:trHeight w:val="206"/>
        </w:trPr>
        <w:tc>
          <w:tcPr>
            <w:tcW w:w="26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costs and expenses</w:t>
            </w:r>
          </w:p>
        </w:tc>
        <w:tc>
          <w:tcPr>
            <w:tcW w:w="1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129,665</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4"/>
                <w:szCs w:val="14"/>
                <w:color w:val="auto"/>
              </w:rPr>
              <w:t>741</w:t>
            </w:r>
          </w:p>
        </w:tc>
        <w:tc>
          <w:tcPr>
            <w:tcW w:w="1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12,306</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142,604</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125,349</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613</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97"/>
              </w:rPr>
              <w:t>11,128</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(163)</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136,927</w:t>
            </w:r>
          </w:p>
        </w:tc>
        <w:tc>
          <w:tcPr>
            <w:tcW w:w="0" w:type="dxa"/>
            <w:vAlign w:val="bottom"/>
          </w:tcPr>
          <w:p>
            <w:pPr>
              <w:spacing w:after="0"/>
              <w:rPr>
                <w:sz w:val="1"/>
                <w:szCs w:val="1"/>
                <w:color w:val="auto"/>
              </w:rPr>
            </w:pPr>
          </w:p>
        </w:tc>
      </w:tr>
      <w:tr>
        <w:trPr>
          <w:trHeight w:val="214"/>
        </w:trPr>
        <w:tc>
          <w:tcPr>
            <w:tcW w:w="2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Operating income (loss)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3,478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1,710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4,445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8,258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8,661</w:t>
            </w:r>
          </w:p>
        </w:tc>
        <w:tc>
          <w:tcPr>
            <w:tcW w:w="0" w:type="dxa"/>
            <w:vAlign w:val="bottom"/>
          </w:tcPr>
          <w:p>
            <w:pPr>
              <w:spacing w:after="0"/>
              <w:rPr>
                <w:sz w:val="1"/>
                <w:szCs w:val="1"/>
                <w:color w:val="auto"/>
              </w:rPr>
            </w:pPr>
          </w:p>
        </w:tc>
      </w:tr>
      <w:tr>
        <w:trPr>
          <w:trHeight w:val="212"/>
        </w:trPr>
        <w:tc>
          <w:tcPr>
            <w:tcW w:w="2640" w:type="dxa"/>
            <w:vAlign w:val="bottom"/>
          </w:tcPr>
          <w:p>
            <w:pPr>
              <w:ind w:left="40"/>
              <w:spacing w:after="0"/>
              <w:rPr>
                <w:sz w:val="20"/>
                <w:szCs w:val="20"/>
                <w:color w:val="auto"/>
              </w:rPr>
            </w:pPr>
            <w:r>
              <w:rPr>
                <w:rFonts w:ascii="Arial" w:cs="Arial" w:eastAsia="Arial" w:hAnsi="Arial"/>
                <w:sz w:val="14"/>
                <w:szCs w:val="14"/>
                <w:color w:val="auto"/>
              </w:rPr>
              <w:t>Automotive interest expense</w:t>
            </w:r>
          </w:p>
        </w:tc>
        <w:tc>
          <w:tcPr>
            <w:tcW w:w="140" w:type="dxa"/>
            <w:vAlign w:val="bottom"/>
          </w:tcPr>
          <w:p>
            <w:pPr>
              <w:spacing w:after="0"/>
              <w:rPr>
                <w:sz w:val="18"/>
                <w:szCs w:val="18"/>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662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ind w:right="44"/>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655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582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575</w:t>
            </w:r>
          </w:p>
        </w:tc>
        <w:tc>
          <w:tcPr>
            <w:tcW w:w="0" w:type="dxa"/>
            <w:vAlign w:val="bottom"/>
          </w:tcPr>
          <w:p>
            <w:pPr>
              <w:spacing w:after="0"/>
              <w:rPr>
                <w:sz w:val="1"/>
                <w:szCs w:val="1"/>
                <w:color w:val="auto"/>
              </w:rPr>
            </w:pPr>
          </w:p>
        </w:tc>
      </w:tr>
      <w:tr>
        <w:trPr>
          <w:trHeight w:val="180"/>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 and other non-operating</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6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income, net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2,573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44"/>
              <w:spacing w:after="0"/>
              <w:rPr>
                <w:sz w:val="20"/>
                <w:szCs w:val="20"/>
                <w:color w:val="auto"/>
              </w:rPr>
            </w:pPr>
            <w:r>
              <w:rPr>
                <w:rFonts w:ascii="Arial" w:cs="Arial" w:eastAsia="Arial" w:hAnsi="Arial"/>
                <w:sz w:val="14"/>
                <w:szCs w:val="14"/>
                <w:color w:val="auto"/>
              </w:rPr>
              <w:t>25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2,596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1,645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1,645</w:t>
            </w:r>
          </w:p>
        </w:tc>
        <w:tc>
          <w:tcPr>
            <w:tcW w:w="0" w:type="dxa"/>
            <w:vAlign w:val="bottom"/>
          </w:tcPr>
          <w:p>
            <w:pPr>
              <w:spacing w:after="0"/>
              <w:rPr>
                <w:sz w:val="1"/>
                <w:szCs w:val="1"/>
                <w:color w:val="auto"/>
              </w:rPr>
            </w:pPr>
          </w:p>
        </w:tc>
      </w:tr>
      <w:tr>
        <w:trPr>
          <w:trHeight w:val="266"/>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Equity income</w:t>
            </w:r>
          </w:p>
        </w:tc>
        <w:tc>
          <w:tcPr>
            <w:tcW w:w="1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1,980</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183</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2,163</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1,959</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173</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2,132</w:t>
            </w:r>
          </w:p>
        </w:tc>
        <w:tc>
          <w:tcPr>
            <w:tcW w:w="0" w:type="dxa"/>
            <w:vAlign w:val="bottom"/>
          </w:tcPr>
          <w:p>
            <w:pPr>
              <w:spacing w:after="0"/>
              <w:rPr>
                <w:sz w:val="1"/>
                <w:szCs w:val="1"/>
                <w:color w:val="auto"/>
              </w:rPr>
            </w:pPr>
          </w:p>
        </w:tc>
      </w:tr>
      <w:tr>
        <w:trPr>
          <w:trHeight w:val="214"/>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before income taxes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7,369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1,893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8,549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11,280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11,863</w:t>
            </w:r>
          </w:p>
        </w:tc>
        <w:tc>
          <w:tcPr>
            <w:tcW w:w="0" w:type="dxa"/>
            <w:vAlign w:val="bottom"/>
          </w:tcPr>
          <w:p>
            <w:pPr>
              <w:spacing w:after="0"/>
              <w:rPr>
                <w:sz w:val="1"/>
                <w:szCs w:val="1"/>
                <w:color w:val="auto"/>
              </w:rPr>
            </w:pPr>
          </w:p>
        </w:tc>
      </w:tr>
      <w:tr>
        <w:trPr>
          <w:trHeight w:val="208"/>
        </w:trPr>
        <w:tc>
          <w:tcPr>
            <w:tcW w:w="2640" w:type="dxa"/>
            <w:vAlign w:val="bottom"/>
          </w:tcPr>
          <w:p>
            <w:pPr>
              <w:ind w:left="40"/>
              <w:spacing w:after="0"/>
              <w:rPr>
                <w:sz w:val="20"/>
                <w:szCs w:val="20"/>
                <w:color w:val="auto"/>
              </w:rPr>
            </w:pPr>
            <w:r>
              <w:rPr>
                <w:rFonts w:ascii="Arial" w:cs="Arial" w:eastAsia="Arial" w:hAnsi="Arial"/>
                <w:sz w:val="14"/>
                <w:szCs w:val="14"/>
                <w:color w:val="auto"/>
              </w:rPr>
              <w:t>Income tax expense</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restart"/>
          </w:tcPr>
          <w:p>
            <w:pPr>
              <w:jc w:val="right"/>
              <w:ind w:right="29"/>
              <w:spacing w:after="0"/>
              <w:rPr>
                <w:sz w:val="20"/>
                <w:szCs w:val="20"/>
                <w:color w:val="auto"/>
              </w:rPr>
            </w:pPr>
            <w:r>
              <w:rPr>
                <w:rFonts w:ascii="Arial" w:cs="Arial" w:eastAsia="Arial" w:hAnsi="Arial"/>
                <w:sz w:val="14"/>
                <w:szCs w:val="14"/>
                <w:color w:val="auto"/>
              </w:rPr>
              <w:t>474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restart"/>
          </w:tcPr>
          <w:p>
            <w:pPr>
              <w:jc w:val="right"/>
              <w:ind w:right="29"/>
              <w:spacing w:after="0"/>
              <w:rPr>
                <w:sz w:val="20"/>
                <w:szCs w:val="20"/>
                <w:color w:val="auto"/>
              </w:rPr>
            </w:pPr>
            <w:r>
              <w:rPr>
                <w:rFonts w:ascii="Arial" w:cs="Arial" w:eastAsia="Arial" w:hAnsi="Arial"/>
                <w:sz w:val="14"/>
                <w:szCs w:val="14"/>
                <w:color w:val="auto"/>
              </w:rPr>
              <w:t>11,533</w:t>
            </w:r>
          </w:p>
        </w:tc>
        <w:tc>
          <w:tcPr>
            <w:tcW w:w="0" w:type="dxa"/>
            <w:vAlign w:val="bottom"/>
          </w:tcPr>
          <w:p>
            <w:pPr>
              <w:spacing w:after="0"/>
              <w:rPr>
                <w:sz w:val="1"/>
                <w:szCs w:val="1"/>
                <w:color w:val="auto"/>
              </w:rPr>
            </w:pPr>
          </w:p>
        </w:tc>
      </w:tr>
      <w:tr>
        <w:trPr>
          <w:trHeight w:val="58"/>
        </w:trPr>
        <w:tc>
          <w:tcPr>
            <w:tcW w:w="264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8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continuing operations</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8,075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62"/>
        </w:trPr>
        <w:tc>
          <w:tcPr>
            <w:tcW w:w="26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640" w:type="dxa"/>
            <w:vAlign w:val="bottom"/>
          </w:tcPr>
          <w:p>
            <w:pPr>
              <w:ind w:left="40"/>
              <w:spacing w:after="0"/>
              <w:rPr>
                <w:sz w:val="20"/>
                <w:szCs w:val="20"/>
                <w:color w:val="auto"/>
              </w:rPr>
            </w:pPr>
            <w:r>
              <w:rPr>
                <w:rFonts w:ascii="Arial" w:cs="Arial" w:eastAsia="Arial" w:hAnsi="Arial"/>
                <w:sz w:val="14"/>
                <w:szCs w:val="14"/>
                <w:color w:val="auto"/>
              </w:rPr>
              <w:t>Loss from discontinued operations, net</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64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of tax</w:t>
            </w:r>
          </w:p>
        </w:tc>
        <w:tc>
          <w:tcPr>
            <w:tcW w:w="14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4,212</w:t>
            </w:r>
          </w:p>
        </w:tc>
        <w:tc>
          <w:tcPr>
            <w:tcW w:w="0" w:type="dxa"/>
            <w:vAlign w:val="bottom"/>
          </w:tcPr>
          <w:p>
            <w:pPr>
              <w:spacing w:after="0"/>
              <w:rPr>
                <w:sz w:val="1"/>
                <w:szCs w:val="1"/>
                <w:color w:val="auto"/>
              </w:rPr>
            </w:pPr>
          </w:p>
        </w:tc>
      </w:tr>
      <w:tr>
        <w:trPr>
          <w:trHeight w:val="192"/>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8,005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(3,882)</w:t>
            </w:r>
          </w:p>
        </w:tc>
        <w:tc>
          <w:tcPr>
            <w:tcW w:w="0" w:type="dxa"/>
            <w:vAlign w:val="bottom"/>
          </w:tcPr>
          <w:p>
            <w:pPr>
              <w:spacing w:after="0"/>
              <w:rPr>
                <w:sz w:val="1"/>
                <w:szCs w:val="1"/>
                <w:color w:val="auto"/>
              </w:rPr>
            </w:pPr>
          </w:p>
        </w:tc>
      </w:tr>
      <w:tr>
        <w:trPr>
          <w:trHeight w:val="62"/>
        </w:trPr>
        <w:tc>
          <w:tcPr>
            <w:tcW w:w="26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640" w:type="dxa"/>
            <w:vAlign w:val="bottom"/>
          </w:tcPr>
          <w:p>
            <w:pPr>
              <w:ind w:left="40"/>
              <w:spacing w:after="0"/>
              <w:rPr>
                <w:sz w:val="20"/>
                <w:szCs w:val="20"/>
                <w:color w:val="auto"/>
              </w:rPr>
            </w:pPr>
            <w:r>
              <w:rPr>
                <w:rFonts w:ascii="Arial" w:cs="Arial" w:eastAsia="Arial" w:hAnsi="Arial"/>
                <w:sz w:val="14"/>
                <w:szCs w:val="14"/>
                <w:color w:val="auto"/>
              </w:rPr>
              <w:t>Net loss attributable to noncontrolling</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64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interests</w:t>
            </w:r>
          </w:p>
        </w:tc>
        <w:tc>
          <w:tcPr>
            <w:tcW w:w="14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0"/>
        </w:trPr>
        <w:tc>
          <w:tcPr>
            <w:tcW w:w="2640" w:type="dxa"/>
            <w:vAlign w:val="bottom"/>
            <w:shd w:val="clear" w:color="auto" w:fill="CCEEFF"/>
          </w:tcPr>
          <w:p>
            <w:pPr>
              <w:ind w:left="40"/>
              <w:spacing w:after="0" w:line="160" w:lineRule="exact"/>
              <w:rPr>
                <w:sz w:val="20"/>
                <w:szCs w:val="20"/>
                <w:color w:val="auto"/>
              </w:rPr>
            </w:pPr>
            <w:r>
              <w:rPr>
                <w:rFonts w:ascii="Arial" w:cs="Arial" w:eastAsia="Arial" w:hAnsi="Arial"/>
                <w:sz w:val="14"/>
                <w:szCs w:val="14"/>
                <w:color w:val="auto"/>
              </w:rPr>
              <w:t>Net income (loss) attributable to</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8,014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(3,864)</w:t>
            </w:r>
          </w:p>
        </w:tc>
        <w:tc>
          <w:tcPr>
            <w:tcW w:w="0" w:type="dxa"/>
            <w:vAlign w:val="bottom"/>
          </w:tcPr>
          <w:p>
            <w:pPr>
              <w:spacing w:after="0"/>
              <w:rPr>
                <w:sz w:val="1"/>
                <w:szCs w:val="1"/>
                <w:color w:val="auto"/>
              </w:rPr>
            </w:pPr>
          </w:p>
        </w:tc>
      </w:tr>
      <w:tr>
        <w:trPr>
          <w:trHeight w:val="189"/>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stockholders</w:t>
            </w: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 attributable to</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6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common stockholders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7,916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335"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Basic and Diluted Earnings per Share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basic and diluted earnings (loss) per share (in millions, except per share amounts):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6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4"/>
          </w:tcPr>
          <w:p>
            <w:pPr>
              <w:jc w:val="right"/>
              <w:ind w:right="940"/>
              <w:spacing w:after="0"/>
              <w:rPr>
                <w:sz w:val="20"/>
                <w:szCs w:val="20"/>
                <w:color w:val="auto"/>
              </w:rPr>
            </w:pPr>
            <w:r>
              <w:rPr>
                <w:rFonts w:ascii="Arial" w:cs="Arial" w:eastAsia="Arial" w:hAnsi="Arial"/>
                <w:sz w:val="13"/>
                <w:szCs w:val="13"/>
                <w:b w:val="1"/>
                <w:bCs w:val="1"/>
                <w:color w:val="auto"/>
              </w:rPr>
              <w:t>Years Ended</w:t>
            </w:r>
          </w:p>
        </w:tc>
        <w:tc>
          <w:tcPr>
            <w:tcW w:w="0" w:type="dxa"/>
            <w:vAlign w:val="bottom"/>
          </w:tcPr>
          <w:p>
            <w:pPr>
              <w:spacing w:after="0"/>
              <w:rPr>
                <w:sz w:val="1"/>
                <w:szCs w:val="1"/>
                <w:color w:val="auto"/>
              </w:rPr>
            </w:pPr>
          </w:p>
        </w:tc>
      </w:tr>
      <w:tr>
        <w:trPr>
          <w:trHeight w:val="261"/>
        </w:trPr>
        <w:tc>
          <w:tcPr>
            <w:tcW w:w="5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gridSpan w:val="2"/>
          </w:tcPr>
          <w:p>
            <w:pPr>
              <w:ind w:left="40"/>
              <w:spacing w:after="0"/>
              <w:rPr>
                <w:sz w:val="20"/>
                <w:szCs w:val="20"/>
                <w:color w:val="auto"/>
              </w:rPr>
            </w:pPr>
            <w:r>
              <w:rPr>
                <w:rFonts w:ascii="Arial" w:cs="Arial" w:eastAsia="Arial" w:hAnsi="Arial"/>
                <w:sz w:val="11"/>
                <w:szCs w:val="11"/>
                <w:b w:val="1"/>
                <w:bCs w:val="1"/>
                <w:color w:val="auto"/>
              </w:rPr>
              <w:t>December 31, 2018</w:t>
            </w:r>
          </w:p>
        </w:tc>
        <w:tc>
          <w:tcPr>
            <w:tcW w:w="14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1"/>
                <w:szCs w:val="11"/>
                <w:b w:val="1"/>
                <w:bCs w:val="1"/>
                <w:color w:val="auto"/>
              </w:rPr>
              <w:t>December 31, 2017</w:t>
            </w:r>
          </w:p>
        </w:tc>
        <w:tc>
          <w:tcPr>
            <w:tcW w:w="16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1"/>
                <w:szCs w:val="11"/>
                <w:b w:val="1"/>
                <w:bCs w:val="1"/>
                <w:color w:val="auto"/>
              </w:rPr>
              <w:t>December 31, 2018</w:t>
            </w:r>
          </w:p>
        </w:tc>
        <w:tc>
          <w:tcPr>
            <w:tcW w:w="160" w:type="dxa"/>
            <w:vAlign w:val="bottom"/>
          </w:tcPr>
          <w:p>
            <w:pPr>
              <w:spacing w:after="0"/>
              <w:rPr>
                <w:sz w:val="22"/>
                <w:szCs w:val="22"/>
                <w:color w:val="auto"/>
              </w:rPr>
            </w:pPr>
          </w:p>
        </w:tc>
        <w:tc>
          <w:tcPr>
            <w:tcW w:w="1200" w:type="dxa"/>
            <w:vAlign w:val="bottom"/>
          </w:tcPr>
          <w:p>
            <w:pPr>
              <w:jc w:val="right"/>
              <w:ind w:right="120"/>
              <w:spacing w:after="0"/>
              <w:rPr>
                <w:sz w:val="20"/>
                <w:szCs w:val="20"/>
                <w:color w:val="auto"/>
              </w:rPr>
            </w:pPr>
            <w:r>
              <w:rPr>
                <w:rFonts w:ascii="Arial" w:cs="Arial" w:eastAsia="Arial" w:hAnsi="Arial"/>
                <w:sz w:val="11"/>
                <w:szCs w:val="11"/>
                <w:b w:val="1"/>
                <w:bCs w:val="1"/>
                <w:color w:val="auto"/>
                <w:w w:val="98"/>
              </w:rPr>
              <w:t>December 31, 2017</w:t>
            </w:r>
          </w:p>
        </w:tc>
        <w:tc>
          <w:tcPr>
            <w:tcW w:w="0" w:type="dxa"/>
            <w:vAlign w:val="bottom"/>
          </w:tcPr>
          <w:p>
            <w:pPr>
              <w:spacing w:after="0"/>
              <w:rPr>
                <w:sz w:val="1"/>
                <w:szCs w:val="1"/>
                <w:color w:val="auto"/>
              </w:rPr>
            </w:pPr>
          </w:p>
        </w:tc>
      </w:tr>
      <w:tr>
        <w:trPr>
          <w:trHeight w:val="269"/>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Basic earnings per share</w:t>
            </w:r>
          </w:p>
        </w:tc>
        <w:tc>
          <w:tcPr>
            <w:tcW w:w="16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5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(loss) from continuing operations(a)</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2,044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8,084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39"/>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Less: cumulative dividends on subsidiary preferred stock</w:t>
            </w: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41"/>
        </w:trPr>
        <w:tc>
          <w:tcPr>
            <w:tcW w:w="5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(loss) from continuing operations attributable to common stockholders</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2,006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7,986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39"/>
        </w:trPr>
        <w:tc>
          <w:tcPr>
            <w:tcW w:w="5620" w:type="dxa"/>
            <w:vAlign w:val="bottom"/>
          </w:tcPr>
          <w:p>
            <w:pPr>
              <w:ind w:left="180"/>
              <w:spacing w:after="0"/>
              <w:rPr>
                <w:sz w:val="20"/>
                <w:szCs w:val="20"/>
                <w:color w:val="auto"/>
              </w:rPr>
            </w:pPr>
            <w:r>
              <w:rPr>
                <w:rFonts w:ascii="Arial" w:cs="Arial" w:eastAsia="Arial" w:hAnsi="Arial"/>
                <w:sz w:val="14"/>
                <w:szCs w:val="14"/>
                <w:color w:val="auto"/>
              </w:rPr>
              <w:t>Loss from discontinued operations, net of tax</w:t>
            </w:r>
          </w:p>
        </w:tc>
        <w:tc>
          <w:tcPr>
            <w:tcW w:w="16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4,212</w:t>
            </w:r>
          </w:p>
        </w:tc>
        <w:tc>
          <w:tcPr>
            <w:tcW w:w="0" w:type="dxa"/>
            <w:vAlign w:val="bottom"/>
          </w:tcPr>
          <w:p>
            <w:pPr>
              <w:spacing w:after="0"/>
              <w:rPr>
                <w:sz w:val="1"/>
                <w:szCs w:val="1"/>
                <w:color w:val="auto"/>
              </w:rPr>
            </w:pPr>
          </w:p>
        </w:tc>
      </w:tr>
      <w:tr>
        <w:trPr>
          <w:trHeight w:val="241"/>
        </w:trPr>
        <w:tc>
          <w:tcPr>
            <w:tcW w:w="56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income (loss) attributable to common stockholders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2,006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7,916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Weighted-average common shares outstanding</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1,412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1,414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1,411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1,465</w:t>
            </w: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Basic earnings (loss) per common share – continuing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5.66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r>
        <w:trPr>
          <w:trHeight w:val="239"/>
        </w:trPr>
        <w:tc>
          <w:tcPr>
            <w:tcW w:w="5620" w:type="dxa"/>
            <w:vAlign w:val="bottom"/>
          </w:tcPr>
          <w:p>
            <w:pPr>
              <w:ind w:left="180"/>
              <w:spacing w:after="0"/>
              <w:rPr>
                <w:sz w:val="20"/>
                <w:szCs w:val="20"/>
                <w:color w:val="auto"/>
              </w:rPr>
            </w:pPr>
            <w:r>
              <w:rPr>
                <w:rFonts w:ascii="Arial" w:cs="Arial" w:eastAsia="Arial" w:hAnsi="Arial"/>
                <w:sz w:val="14"/>
                <w:szCs w:val="14"/>
                <w:color w:val="auto"/>
              </w:rPr>
              <w:t>Basic loss per common share – discontinued operations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0.19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47"/>
        </w:trPr>
        <w:tc>
          <w:tcPr>
            <w:tcW w:w="5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Basic earnings (loss)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5.61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69"/>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Diluted earnings per share</w:t>
            </w: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5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(loss) from continuing operations attributable to common stockholders –</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2,006</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(4,888)</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7,986</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02"/>
        </w:trPr>
        <w:tc>
          <w:tcPr>
            <w:tcW w:w="56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diluted(a)</w:t>
            </w:r>
          </w:p>
        </w:tc>
        <w:tc>
          <w:tcPr>
            <w:tcW w:w="160" w:type="dxa"/>
            <w:vAlign w:val="bottom"/>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620" w:type="dxa"/>
            <w:vAlign w:val="bottom"/>
          </w:tcPr>
          <w:p>
            <w:pPr>
              <w:ind w:left="180"/>
              <w:spacing w:after="0"/>
              <w:rPr>
                <w:sz w:val="20"/>
                <w:szCs w:val="20"/>
                <w:color w:val="auto"/>
              </w:rPr>
            </w:pPr>
            <w:r>
              <w:rPr>
                <w:rFonts w:ascii="Arial" w:cs="Arial" w:eastAsia="Arial" w:hAnsi="Arial"/>
                <w:sz w:val="14"/>
                <w:szCs w:val="14"/>
                <w:color w:val="auto"/>
              </w:rPr>
              <w:t>Loss from discontinued operations, net of tax – diluted</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4,212</w:t>
            </w:r>
          </w:p>
        </w:tc>
        <w:tc>
          <w:tcPr>
            <w:tcW w:w="0" w:type="dxa"/>
            <w:vAlign w:val="bottom"/>
          </w:tcPr>
          <w:p>
            <w:pPr>
              <w:spacing w:after="0"/>
              <w:rPr>
                <w:sz w:val="1"/>
                <w:szCs w:val="1"/>
                <w:color w:val="auto"/>
              </w:rPr>
            </w:pPr>
          </w:p>
        </w:tc>
      </w:tr>
      <w:tr>
        <w:trPr>
          <w:trHeight w:val="247"/>
        </w:trPr>
        <w:tc>
          <w:tcPr>
            <w:tcW w:w="5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(loss) attributable to common stockholders – 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2,006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7,916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(3,880)</w:t>
            </w: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Weighted-average common shares outstanding – diluted</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1,432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1,414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1,431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 earnings (loss) per common share – continuing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5.58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239"/>
        </w:trPr>
        <w:tc>
          <w:tcPr>
            <w:tcW w:w="5620" w:type="dxa"/>
            <w:vAlign w:val="bottom"/>
          </w:tcPr>
          <w:p>
            <w:pPr>
              <w:ind w:left="180"/>
              <w:spacing w:after="0"/>
              <w:rPr>
                <w:sz w:val="20"/>
                <w:szCs w:val="20"/>
                <w:color w:val="auto"/>
              </w:rPr>
            </w:pPr>
            <w:r>
              <w:rPr>
                <w:rFonts w:ascii="Arial" w:cs="Arial" w:eastAsia="Arial" w:hAnsi="Arial"/>
                <w:sz w:val="14"/>
                <w:szCs w:val="14"/>
                <w:color w:val="auto"/>
              </w:rPr>
              <w:t>Diluted loss per common share – discontinued operations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0.19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47"/>
        </w:trPr>
        <w:tc>
          <w:tcPr>
            <w:tcW w:w="5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 earnings (loss)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5.53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08"/>
        </w:trPr>
        <w:tc>
          <w:tcPr>
            <w:tcW w:w="5620" w:type="dxa"/>
            <w:vAlign w:val="bottom"/>
          </w:tcPr>
          <w:p>
            <w:pPr>
              <w:ind w:left="180"/>
              <w:spacing w:after="0"/>
              <w:rPr>
                <w:sz w:val="20"/>
                <w:szCs w:val="20"/>
                <w:color w:val="auto"/>
              </w:rPr>
            </w:pPr>
            <w:r>
              <w:rPr>
                <w:rFonts w:ascii="Arial" w:cs="Arial" w:eastAsia="Arial" w:hAnsi="Arial"/>
                <w:sz w:val="14"/>
                <w:szCs w:val="14"/>
                <w:color w:val="auto"/>
              </w:rPr>
              <w:t>Potentially dilutive securities(b)</w:t>
            </w:r>
          </w:p>
        </w:tc>
        <w:tc>
          <w:tcPr>
            <w:tcW w:w="160" w:type="dxa"/>
            <w:vAlign w:val="bottom"/>
          </w:tcPr>
          <w:p>
            <w:pPr>
              <w:spacing w:after="0"/>
              <w:rPr>
                <w:sz w:val="18"/>
                <w:szCs w:val="18"/>
                <w:color w:val="auto"/>
              </w:rPr>
            </w:pPr>
          </w:p>
        </w:tc>
        <w:tc>
          <w:tcPr>
            <w:tcW w:w="1220" w:type="dxa"/>
            <w:vAlign w:val="bottom"/>
            <w:vMerge w:val="restart"/>
          </w:tcPr>
          <w:p>
            <w:pPr>
              <w:jc w:val="right"/>
              <w:ind w:right="21"/>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vMerge w:val="restart"/>
          </w:tcPr>
          <w:p>
            <w:pPr>
              <w:jc w:val="right"/>
              <w:ind w:right="21"/>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5"/>
        </w:trPr>
        <w:tc>
          <w:tcPr>
            <w:tcW w:w="5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9"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Net of Net income (loss) attributable to noncontrolling interests.</w:t>
      </w:r>
    </w:p>
    <w:p>
      <w:pPr>
        <w:spacing w:after="0" w:line="1" w:lineRule="exact"/>
        <w:rPr>
          <w:rFonts w:ascii="Arial" w:cs="Arial" w:eastAsia="Arial" w:hAnsi="Arial"/>
          <w:sz w:val="14"/>
          <w:szCs w:val="14"/>
          <w:color w:val="auto"/>
        </w:rPr>
      </w:pPr>
    </w:p>
    <w:p>
      <w:pPr>
        <w:ind w:left="340" w:hanging="332"/>
        <w:spacing w:after="0" w:line="264"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Potentially dilutive securities attributable to outstanding stock options and RSUs were excluded from the computation of diluted EPS because the securities would have had an antidilutive effect.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335"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Combining Balance Sheet Information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millions, except per share amounts) (Unaudited)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7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5"/>
          </w:tcPr>
          <w:p>
            <w:pPr>
              <w:ind w:left="60"/>
              <w:spacing w:after="0"/>
              <w:rPr>
                <w:sz w:val="20"/>
                <w:szCs w:val="20"/>
                <w:color w:val="auto"/>
              </w:rPr>
            </w:pPr>
            <w:r>
              <w:rPr>
                <w:rFonts w:ascii="Arial" w:cs="Arial" w:eastAsia="Arial" w:hAnsi="Arial"/>
                <w:sz w:val="11"/>
                <w:szCs w:val="11"/>
                <w:b w:val="1"/>
                <w:bCs w:val="1"/>
                <w:color w:val="auto"/>
              </w:rPr>
              <w:t>December 31, 2018</w:t>
            </w: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5"/>
          </w:tcPr>
          <w:p>
            <w:pPr>
              <w:spacing w:after="0"/>
              <w:rPr>
                <w:sz w:val="20"/>
                <w:szCs w:val="20"/>
                <w:color w:val="auto"/>
              </w:rPr>
            </w:pPr>
            <w:r>
              <w:rPr>
                <w:rFonts w:ascii="Arial" w:cs="Arial" w:eastAsia="Arial" w:hAnsi="Arial"/>
                <w:sz w:val="11"/>
                <w:szCs w:val="11"/>
                <w:b w:val="1"/>
                <w:bCs w:val="1"/>
                <w:color w:val="auto"/>
              </w:rPr>
              <w:t>December 31, 2017</w:t>
            </w: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Automotive</w:t>
            </w:r>
          </w:p>
        </w:tc>
        <w:tc>
          <w:tcPr>
            <w:tcW w:w="700" w:type="dxa"/>
            <w:vAlign w:val="bottom"/>
            <w:gridSpan w:val="3"/>
            <w:vMerge w:val="restart"/>
          </w:tcPr>
          <w:p>
            <w:pPr>
              <w:ind w:left="60"/>
              <w:spacing w:after="0"/>
              <w:rPr>
                <w:sz w:val="20"/>
                <w:szCs w:val="20"/>
                <w:color w:val="auto"/>
              </w:rPr>
            </w:pPr>
            <w:r>
              <w:rPr>
                <w:rFonts w:ascii="Arial" w:cs="Arial" w:eastAsia="Arial" w:hAnsi="Arial"/>
                <w:sz w:val="9"/>
                <w:szCs w:val="9"/>
                <w:b w:val="1"/>
                <w:bCs w:val="1"/>
                <w:color w:val="auto"/>
              </w:rPr>
              <w:t>GM Cruise</w:t>
            </w:r>
          </w:p>
        </w:tc>
        <w:tc>
          <w:tcPr>
            <w:tcW w:w="12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rPr>
              <w:t>GM Financial</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9"/>
              </w:rPr>
              <w:t>Reclassifications /</w:t>
            </w:r>
          </w:p>
        </w:tc>
        <w:tc>
          <w:tcPr>
            <w:tcW w:w="120" w:type="dxa"/>
            <w:vAlign w:val="bottom"/>
          </w:tcPr>
          <w:p>
            <w:pPr>
              <w:spacing w:after="0"/>
              <w:rPr>
                <w:sz w:val="11"/>
                <w:szCs w:val="11"/>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Combined</w:t>
            </w:r>
          </w:p>
        </w:tc>
        <w:tc>
          <w:tcPr>
            <w:tcW w:w="780" w:type="dxa"/>
            <w:vAlign w:val="bottom"/>
            <w:gridSpan w:val="3"/>
            <w:vMerge w:val="restart"/>
          </w:tcPr>
          <w:p>
            <w:pPr>
              <w:ind w:left="80"/>
              <w:spacing w:after="0"/>
              <w:rPr>
                <w:sz w:val="20"/>
                <w:szCs w:val="20"/>
                <w:color w:val="auto"/>
              </w:rPr>
            </w:pPr>
            <w:r>
              <w:rPr>
                <w:rFonts w:ascii="Arial" w:cs="Arial" w:eastAsia="Arial" w:hAnsi="Arial"/>
                <w:sz w:val="9"/>
                <w:szCs w:val="9"/>
                <w:b w:val="1"/>
                <w:bCs w:val="1"/>
                <w:color w:val="auto"/>
              </w:rPr>
              <w:t>Automotive</w:t>
            </w:r>
          </w:p>
        </w:tc>
        <w:tc>
          <w:tcPr>
            <w:tcW w:w="660" w:type="dxa"/>
            <w:vAlign w:val="bottom"/>
            <w:gridSpan w:val="3"/>
            <w:vMerge w:val="restart"/>
          </w:tcPr>
          <w:p>
            <w:pPr>
              <w:ind w:left="40"/>
              <w:spacing w:after="0"/>
              <w:rPr>
                <w:sz w:val="20"/>
                <w:szCs w:val="20"/>
                <w:color w:val="auto"/>
              </w:rPr>
            </w:pPr>
            <w:r>
              <w:rPr>
                <w:rFonts w:ascii="Arial" w:cs="Arial" w:eastAsia="Arial" w:hAnsi="Arial"/>
                <w:sz w:val="9"/>
                <w:szCs w:val="9"/>
                <w:b w:val="1"/>
                <w:bCs w:val="1"/>
                <w:color w:val="auto"/>
              </w:rPr>
              <w:t>GM Cruise</w:t>
            </w:r>
          </w:p>
        </w:tc>
        <w:tc>
          <w:tcPr>
            <w:tcW w:w="760" w:type="dxa"/>
            <w:vAlign w:val="bottom"/>
            <w:gridSpan w:val="3"/>
            <w:vMerge w:val="restart"/>
          </w:tcPr>
          <w:p>
            <w:pPr>
              <w:ind w:left="40"/>
              <w:spacing w:after="0"/>
              <w:rPr>
                <w:sz w:val="20"/>
                <w:szCs w:val="20"/>
                <w:color w:val="auto"/>
              </w:rPr>
            </w:pPr>
            <w:r>
              <w:rPr>
                <w:rFonts w:ascii="Arial" w:cs="Arial" w:eastAsia="Arial" w:hAnsi="Arial"/>
                <w:sz w:val="9"/>
                <w:szCs w:val="9"/>
                <w:b w:val="1"/>
                <w:bCs w:val="1"/>
                <w:color w:val="auto"/>
              </w:rPr>
              <w:t>GM Financial</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9"/>
              </w:rPr>
              <w:t>Reclassifications /</w:t>
            </w:r>
          </w:p>
        </w:tc>
        <w:tc>
          <w:tcPr>
            <w:tcW w:w="120" w:type="dxa"/>
            <w:vAlign w:val="bottom"/>
          </w:tcPr>
          <w:p>
            <w:pPr>
              <w:spacing w:after="0"/>
              <w:rPr>
                <w:sz w:val="11"/>
                <w:szCs w:val="11"/>
                <w:color w:val="auto"/>
              </w:rPr>
            </w:pPr>
          </w:p>
        </w:tc>
        <w:tc>
          <w:tcPr>
            <w:tcW w:w="640" w:type="dxa"/>
            <w:vAlign w:val="bottom"/>
            <w:vMerge w:val="restart"/>
          </w:tcPr>
          <w:p>
            <w:pPr>
              <w:jc w:val="right"/>
              <w:ind w:right="97"/>
              <w:spacing w:after="0"/>
              <w:rPr>
                <w:sz w:val="20"/>
                <w:szCs w:val="20"/>
                <w:color w:val="auto"/>
              </w:rPr>
            </w:pPr>
            <w:r>
              <w:rPr>
                <w:rFonts w:ascii="Arial" w:cs="Arial" w:eastAsia="Arial" w:hAnsi="Arial"/>
                <w:sz w:val="9"/>
                <w:szCs w:val="9"/>
                <w:b w:val="1"/>
                <w:bCs w:val="1"/>
                <w:color w:val="auto"/>
              </w:rPr>
              <w:t>Combined</w:t>
            </w:r>
          </w:p>
        </w:tc>
        <w:tc>
          <w:tcPr>
            <w:tcW w:w="0" w:type="dxa"/>
            <w:vAlign w:val="bottom"/>
          </w:tcPr>
          <w:p>
            <w:pPr>
              <w:spacing w:after="0"/>
              <w:rPr>
                <w:sz w:val="1"/>
                <w:szCs w:val="1"/>
                <w:color w:val="auto"/>
              </w:rPr>
            </w:pPr>
          </w:p>
        </w:tc>
      </w:tr>
      <w:tr>
        <w:trPr>
          <w:trHeight w:val="127"/>
        </w:trPr>
        <w:tc>
          <w:tcPr>
            <w:tcW w:w="2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rPr>
              <w:t>Eliminations</w:t>
            </w: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Eliminations</w:t>
            </w: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740" w:type="dxa"/>
            <w:vAlign w:val="bottom"/>
          </w:tcPr>
          <w:p>
            <w:pPr>
              <w:ind w:left="1120"/>
              <w:spacing w:after="0"/>
              <w:rPr>
                <w:sz w:val="20"/>
                <w:szCs w:val="20"/>
                <w:color w:val="auto"/>
              </w:rPr>
            </w:pPr>
            <w:r>
              <w:rPr>
                <w:rFonts w:ascii="Arial" w:cs="Arial" w:eastAsia="Arial" w:hAnsi="Arial"/>
                <w:sz w:val="13"/>
                <w:szCs w:val="13"/>
                <w:b w:val="1"/>
                <w:bCs w:val="1"/>
                <w:color w:val="auto"/>
              </w:rPr>
              <w:t>ASSETS</w:t>
            </w: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2740" w:type="dxa"/>
            <w:vAlign w:val="bottom"/>
          </w:tcPr>
          <w:p>
            <w:pPr>
              <w:ind w:left="40"/>
              <w:spacing w:after="0"/>
              <w:rPr>
                <w:sz w:val="20"/>
                <w:szCs w:val="20"/>
                <w:color w:val="auto"/>
              </w:rPr>
            </w:pPr>
            <w:r>
              <w:rPr>
                <w:rFonts w:ascii="Arial" w:cs="Arial" w:eastAsia="Arial" w:hAnsi="Arial"/>
                <w:sz w:val="13"/>
                <w:szCs w:val="13"/>
                <w:b w:val="1"/>
                <w:bCs w:val="1"/>
                <w:color w:val="auto"/>
              </w:rPr>
              <w:t>Current Assets</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13,670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8"/>
              </w:rPr>
              <w:t>2,291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4,883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20,844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11,224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15,512</w:t>
            </w:r>
          </w:p>
        </w:tc>
        <w:tc>
          <w:tcPr>
            <w:tcW w:w="0" w:type="dxa"/>
            <w:vAlign w:val="bottom"/>
          </w:tcPr>
          <w:p>
            <w:pPr>
              <w:spacing w:after="0"/>
              <w:rPr>
                <w:sz w:val="1"/>
                <w:szCs w:val="1"/>
                <w:color w:val="auto"/>
              </w:rPr>
            </w:pPr>
          </w:p>
        </w:tc>
      </w:tr>
      <w:tr>
        <w:trPr>
          <w:trHeight w:val="209"/>
        </w:trPr>
        <w:tc>
          <w:tcPr>
            <w:tcW w:w="2740" w:type="dxa"/>
            <w:vAlign w:val="bottom"/>
          </w:tcPr>
          <w:p>
            <w:pPr>
              <w:ind w:left="180"/>
              <w:spacing w:after="0"/>
              <w:rPr>
                <w:sz w:val="20"/>
                <w:szCs w:val="20"/>
                <w:color w:val="auto"/>
              </w:rPr>
            </w:pPr>
            <w:r>
              <w:rPr>
                <w:rFonts w:ascii="Arial" w:cs="Arial" w:eastAsia="Arial" w:hAnsi="Arial"/>
                <w:sz w:val="13"/>
                <w:szCs w:val="13"/>
                <w:color w:val="auto"/>
              </w:rPr>
              <w:t>Marketable securities(a)</w:t>
            </w:r>
          </w:p>
        </w:tc>
        <w:tc>
          <w:tcPr>
            <w:tcW w:w="100" w:type="dxa"/>
            <w:vAlign w:val="bottom"/>
          </w:tcPr>
          <w:p>
            <w:pPr>
              <w:spacing w:after="0"/>
              <w:rPr>
                <w:sz w:val="18"/>
                <w:szCs w:val="18"/>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5,966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5,966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8,313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8,313</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Accounts and notes receivable, net(b)</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5,916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1,430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6,549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7,759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8,164</w:t>
            </w:r>
          </w:p>
        </w:tc>
        <w:tc>
          <w:tcPr>
            <w:tcW w:w="0" w:type="dxa"/>
            <w:vAlign w:val="bottom"/>
          </w:tcPr>
          <w:p>
            <w:pPr>
              <w:spacing w:after="0"/>
              <w:rPr>
                <w:sz w:val="1"/>
                <w:szCs w:val="1"/>
                <w:color w:val="auto"/>
              </w:rPr>
            </w:pPr>
          </w:p>
        </w:tc>
      </w:tr>
      <w:tr>
        <w:trPr>
          <w:trHeight w:val="209"/>
        </w:trPr>
        <w:tc>
          <w:tcPr>
            <w:tcW w:w="2740" w:type="dxa"/>
            <w:vAlign w:val="bottom"/>
          </w:tcPr>
          <w:p>
            <w:pPr>
              <w:ind w:left="180"/>
              <w:spacing w:after="0"/>
              <w:rPr>
                <w:sz w:val="20"/>
                <w:szCs w:val="20"/>
                <w:color w:val="auto"/>
              </w:rPr>
            </w:pPr>
            <w:r>
              <w:rPr>
                <w:rFonts w:ascii="Arial" w:cs="Arial" w:eastAsia="Arial" w:hAnsi="Arial"/>
                <w:sz w:val="13"/>
                <w:szCs w:val="13"/>
                <w:color w:val="auto"/>
              </w:rPr>
              <w:t>GM Financial receivables, net(c)</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27,367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26,850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20,901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20,521</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Inventories</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9,816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9,816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10,663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10,663</w:t>
            </w:r>
          </w:p>
        </w:tc>
        <w:tc>
          <w:tcPr>
            <w:tcW w:w="0" w:type="dxa"/>
            <w:vAlign w:val="bottom"/>
          </w:tcPr>
          <w:p>
            <w:pPr>
              <w:spacing w:after="0"/>
              <w:rPr>
                <w:sz w:val="1"/>
                <w:szCs w:val="1"/>
                <w:color w:val="auto"/>
              </w:rPr>
            </w:pPr>
          </w:p>
        </w:tc>
      </w:tr>
      <w:tr>
        <w:trPr>
          <w:trHeight w:val="209"/>
        </w:trPr>
        <w:tc>
          <w:tcPr>
            <w:tcW w:w="2740" w:type="dxa"/>
            <w:vAlign w:val="bottom"/>
          </w:tcPr>
          <w:p>
            <w:pPr>
              <w:ind w:left="180"/>
              <w:spacing w:after="0"/>
              <w:rPr>
                <w:sz w:val="20"/>
                <w:szCs w:val="20"/>
                <w:color w:val="auto"/>
              </w:rPr>
            </w:pPr>
            <w:r>
              <w:rPr>
                <w:rFonts w:ascii="Arial" w:cs="Arial" w:eastAsia="Arial" w:hAnsi="Arial"/>
                <w:sz w:val="13"/>
                <w:szCs w:val="13"/>
                <w:color w:val="auto"/>
              </w:rPr>
              <w:t>Equipment on operating leases, net</w:t>
            </w:r>
          </w:p>
        </w:tc>
        <w:tc>
          <w:tcPr>
            <w:tcW w:w="100" w:type="dxa"/>
            <w:vAlign w:val="bottom"/>
          </w:tcPr>
          <w:p>
            <w:pPr>
              <w:spacing w:after="0"/>
              <w:rPr>
                <w:sz w:val="18"/>
                <w:szCs w:val="18"/>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247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1,106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1,106</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current assets</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1,372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3,640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5,021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3,069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4,465</w:t>
            </w:r>
          </w:p>
        </w:tc>
        <w:tc>
          <w:tcPr>
            <w:tcW w:w="0" w:type="dxa"/>
            <w:vAlign w:val="bottom"/>
          </w:tcPr>
          <w:p>
            <w:pPr>
              <w:spacing w:after="0"/>
              <w:rPr>
                <w:sz w:val="1"/>
                <w:szCs w:val="1"/>
                <w:color w:val="auto"/>
              </w:rPr>
            </w:pPr>
          </w:p>
        </w:tc>
      </w:tr>
      <w:tr>
        <w:trPr>
          <w:trHeight w:val="203"/>
        </w:trPr>
        <w:tc>
          <w:tcPr>
            <w:tcW w:w="2740" w:type="dxa"/>
            <w:vAlign w:val="bottom"/>
          </w:tcPr>
          <w:p>
            <w:pPr>
              <w:ind w:left="180"/>
              <w:spacing w:after="0"/>
              <w:rPr>
                <w:sz w:val="20"/>
                <w:szCs w:val="20"/>
                <w:color w:val="auto"/>
              </w:rPr>
            </w:pPr>
            <w:r>
              <w:rPr>
                <w:rFonts w:ascii="Arial" w:cs="Arial" w:eastAsia="Arial" w:hAnsi="Arial"/>
                <w:sz w:val="13"/>
                <w:szCs w:val="13"/>
                <w:color w:val="auto"/>
              </w:rPr>
              <w:t>Total current assets</w:t>
            </w: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36,987</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w w:val="98"/>
              </w:rPr>
              <w:t>2,411</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58"/>
              <w:spacing w:after="0"/>
              <w:rPr>
                <w:sz w:val="20"/>
                <w:szCs w:val="20"/>
                <w:color w:val="auto"/>
              </w:rPr>
            </w:pPr>
            <w:r>
              <w:rPr>
                <w:rFonts w:ascii="Arial" w:cs="Arial" w:eastAsia="Arial" w:hAnsi="Arial"/>
                <w:sz w:val="13"/>
                <w:szCs w:val="13"/>
                <w:color w:val="auto"/>
              </w:rPr>
              <w:t>37,320</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(1,425)</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75,293</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40,459</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29,041</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(781)</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68,744</w:t>
            </w:r>
          </w:p>
        </w:tc>
        <w:tc>
          <w:tcPr>
            <w:tcW w:w="0" w:type="dxa"/>
            <w:vAlign w:val="bottom"/>
          </w:tcPr>
          <w:p>
            <w:pPr>
              <w:spacing w:after="0"/>
              <w:rPr>
                <w:sz w:val="1"/>
                <w:szCs w:val="1"/>
                <w:color w:val="auto"/>
              </w:rPr>
            </w:pPr>
          </w:p>
        </w:tc>
      </w:tr>
      <w:tr>
        <w:trPr>
          <w:trHeight w:val="188"/>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Non-current Assets</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7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740" w:type="dxa"/>
            <w:vAlign w:val="bottom"/>
          </w:tcPr>
          <w:p>
            <w:pPr>
              <w:ind w:left="180"/>
              <w:spacing w:after="0"/>
              <w:rPr>
                <w:sz w:val="20"/>
                <w:szCs w:val="20"/>
                <w:color w:val="auto"/>
              </w:rPr>
            </w:pPr>
            <w:r>
              <w:rPr>
                <w:rFonts w:ascii="Arial" w:cs="Arial" w:eastAsia="Arial" w:hAnsi="Arial"/>
                <w:sz w:val="13"/>
                <w:szCs w:val="13"/>
                <w:color w:val="auto"/>
              </w:rPr>
              <w:t>GM Financial receivables, net(c)</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25,145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25,083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21,271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21,208</w:t>
            </w:r>
          </w:p>
        </w:tc>
        <w:tc>
          <w:tcPr>
            <w:tcW w:w="0" w:type="dxa"/>
            <w:vAlign w:val="bottom"/>
          </w:tcPr>
          <w:p>
            <w:pPr>
              <w:spacing w:after="0"/>
              <w:rPr>
                <w:sz w:val="1"/>
                <w:szCs w:val="1"/>
                <w:color w:val="auto"/>
              </w:rPr>
            </w:pPr>
          </w:p>
        </w:tc>
      </w:tr>
      <w:tr>
        <w:trPr>
          <w:trHeight w:val="147"/>
        </w:trPr>
        <w:tc>
          <w:tcPr>
            <w:tcW w:w="2740" w:type="dxa"/>
            <w:vAlign w:val="bottom"/>
            <w:shd w:val="clear" w:color="auto" w:fill="CCEEFF"/>
          </w:tcPr>
          <w:p>
            <w:pPr>
              <w:ind w:left="180"/>
              <w:spacing w:after="0" w:line="148" w:lineRule="exact"/>
              <w:rPr>
                <w:sz w:val="20"/>
                <w:szCs w:val="20"/>
                <w:color w:val="auto"/>
              </w:rPr>
            </w:pPr>
            <w:r>
              <w:rPr>
                <w:rFonts w:ascii="Arial" w:cs="Arial" w:eastAsia="Arial" w:hAnsi="Arial"/>
                <w:sz w:val="13"/>
                <w:szCs w:val="13"/>
                <w:color w:val="auto"/>
              </w:rPr>
              <w:t>Equity in net assets of nonconsolidated</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7,860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58"/>
              <w:spacing w:after="0"/>
              <w:rPr>
                <w:sz w:val="20"/>
                <w:szCs w:val="20"/>
                <w:color w:val="auto"/>
              </w:rPr>
            </w:pPr>
            <w:r>
              <w:rPr>
                <w:rFonts w:ascii="Arial" w:cs="Arial" w:eastAsia="Arial" w:hAnsi="Arial"/>
                <w:sz w:val="13"/>
                <w:szCs w:val="13"/>
                <w:color w:val="auto"/>
              </w:rPr>
              <w:t>1,355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9,215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7,886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1,187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9,073</w:t>
            </w:r>
          </w:p>
        </w:tc>
        <w:tc>
          <w:tcPr>
            <w:tcW w:w="0" w:type="dxa"/>
            <w:vAlign w:val="bottom"/>
          </w:tcPr>
          <w:p>
            <w:pPr>
              <w:spacing w:after="0"/>
              <w:rPr>
                <w:sz w:val="1"/>
                <w:szCs w:val="1"/>
                <w:color w:val="auto"/>
              </w:rPr>
            </w:pPr>
          </w:p>
        </w:tc>
      </w:tr>
      <w:tr>
        <w:trPr>
          <w:trHeight w:val="184"/>
        </w:trPr>
        <w:tc>
          <w:tcPr>
            <w:tcW w:w="27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affiliates</w:t>
            </w: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740" w:type="dxa"/>
            <w:vAlign w:val="bottom"/>
          </w:tcPr>
          <w:p>
            <w:pPr>
              <w:ind w:left="180"/>
              <w:spacing w:after="0"/>
              <w:rPr>
                <w:sz w:val="20"/>
                <w:szCs w:val="20"/>
                <w:color w:val="auto"/>
              </w:rPr>
            </w:pPr>
            <w:r>
              <w:rPr>
                <w:rFonts w:ascii="Arial" w:cs="Arial" w:eastAsia="Arial" w:hAnsi="Arial"/>
                <w:sz w:val="13"/>
                <w:szCs w:val="13"/>
                <w:color w:val="auto"/>
              </w:rPr>
              <w:t>Property, net</w:t>
            </w:r>
          </w:p>
        </w:tc>
        <w:tc>
          <w:tcPr>
            <w:tcW w:w="100" w:type="dxa"/>
            <w:vAlign w:val="bottom"/>
          </w:tcPr>
          <w:p>
            <w:pPr>
              <w:spacing w:after="0"/>
              <w:rPr>
                <w:sz w:val="18"/>
                <w:szCs w:val="18"/>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38,464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251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38,758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35,960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ind w:right="57"/>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36,253</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Goodwill and intangible assets, net</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1,356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5,579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5,849</w:t>
            </w:r>
          </w:p>
        </w:tc>
        <w:tc>
          <w:tcPr>
            <w:tcW w:w="0" w:type="dxa"/>
            <w:vAlign w:val="bottom"/>
          </w:tcPr>
          <w:p>
            <w:pPr>
              <w:spacing w:after="0"/>
              <w:rPr>
                <w:sz w:val="1"/>
                <w:szCs w:val="1"/>
                <w:color w:val="auto"/>
              </w:rPr>
            </w:pPr>
          </w:p>
        </w:tc>
      </w:tr>
      <w:tr>
        <w:trPr>
          <w:trHeight w:val="209"/>
        </w:trPr>
        <w:tc>
          <w:tcPr>
            <w:tcW w:w="2740" w:type="dxa"/>
            <w:vAlign w:val="bottom"/>
          </w:tcPr>
          <w:p>
            <w:pPr>
              <w:ind w:left="180"/>
              <w:spacing w:after="0"/>
              <w:rPr>
                <w:sz w:val="20"/>
                <w:szCs w:val="20"/>
                <w:color w:val="auto"/>
              </w:rPr>
            </w:pPr>
            <w:r>
              <w:rPr>
                <w:rFonts w:ascii="Arial" w:cs="Arial" w:eastAsia="Arial" w:hAnsi="Arial"/>
                <w:sz w:val="13"/>
                <w:szCs w:val="13"/>
                <w:color w:val="auto"/>
              </w:rPr>
              <w:t>Equipment on operating leases, net</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43,559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43,559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42,882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42,882</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Deferred income taxes</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23,935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24,082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23,301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23,544</w:t>
            </w:r>
          </w:p>
        </w:tc>
        <w:tc>
          <w:tcPr>
            <w:tcW w:w="0" w:type="dxa"/>
            <w:vAlign w:val="bottom"/>
          </w:tcPr>
          <w:p>
            <w:pPr>
              <w:spacing w:after="0"/>
              <w:rPr>
                <w:sz w:val="1"/>
                <w:szCs w:val="1"/>
                <w:color w:val="auto"/>
              </w:rPr>
            </w:pPr>
          </w:p>
        </w:tc>
      </w:tr>
      <w:tr>
        <w:trPr>
          <w:trHeight w:val="210"/>
        </w:trPr>
        <w:tc>
          <w:tcPr>
            <w:tcW w:w="2740" w:type="dxa"/>
            <w:vAlign w:val="bottom"/>
          </w:tcPr>
          <w:p>
            <w:pPr>
              <w:ind w:left="180"/>
              <w:spacing w:after="0"/>
              <w:rPr>
                <w:sz w:val="20"/>
                <w:szCs w:val="20"/>
                <w:color w:val="auto"/>
              </w:rPr>
            </w:pPr>
            <w:r>
              <w:rPr>
                <w:rFonts w:ascii="Arial" w:cs="Arial" w:eastAsia="Arial" w:hAnsi="Arial"/>
                <w:sz w:val="13"/>
                <w:szCs w:val="13"/>
                <w:color w:val="auto"/>
              </w:rPr>
              <w:t>Other assets</w:t>
            </w:r>
          </w:p>
        </w:tc>
        <w:tc>
          <w:tcPr>
            <w:tcW w:w="100" w:type="dxa"/>
            <w:vAlign w:val="bottom"/>
          </w:tcPr>
          <w:p>
            <w:pPr>
              <w:spacing w:after="0"/>
              <w:rPr>
                <w:sz w:val="18"/>
                <w:szCs w:val="18"/>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4,880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890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5,770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4,000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929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4,929</w:t>
            </w:r>
          </w:p>
        </w:tc>
        <w:tc>
          <w:tcPr>
            <w:tcW w:w="0" w:type="dxa"/>
            <w:vAlign w:val="bottom"/>
          </w:tcPr>
          <w:p>
            <w:pPr>
              <w:spacing w:after="0"/>
              <w:rPr>
                <w:sz w:val="1"/>
                <w:szCs w:val="1"/>
                <w:color w:val="auto"/>
              </w:rPr>
            </w:pPr>
          </w:p>
        </w:tc>
      </w:tr>
      <w:tr>
        <w:trPr>
          <w:trHeight w:val="216"/>
        </w:trPr>
        <w:tc>
          <w:tcPr>
            <w:tcW w:w="27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Total non-current assets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78,691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784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72,633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152,046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74,950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641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68,210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143,738</w:t>
            </w:r>
          </w:p>
        </w:tc>
        <w:tc>
          <w:tcPr>
            <w:tcW w:w="0" w:type="dxa"/>
            <w:vAlign w:val="bottom"/>
          </w:tcPr>
          <w:p>
            <w:pPr>
              <w:spacing w:after="0"/>
              <w:rPr>
                <w:sz w:val="1"/>
                <w:szCs w:val="1"/>
                <w:color w:val="auto"/>
              </w:rPr>
            </w:pPr>
          </w:p>
        </w:tc>
      </w:tr>
      <w:tr>
        <w:trPr>
          <w:trHeight w:val="243"/>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3"/>
                <w:szCs w:val="13"/>
                <w:b w:val="1"/>
                <w:bCs w:val="1"/>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115,678</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98"/>
              </w:rPr>
              <w:t>3,195</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109,953</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(1,487)</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227,339</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93"/>
              </w:rPr>
              <w:t>115,409</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666</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97,251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212,482</w:t>
            </w:r>
          </w:p>
        </w:tc>
        <w:tc>
          <w:tcPr>
            <w:tcW w:w="0" w:type="dxa"/>
            <w:vAlign w:val="bottom"/>
          </w:tcPr>
          <w:p>
            <w:pPr>
              <w:spacing w:after="0"/>
              <w:rPr>
                <w:sz w:val="1"/>
                <w:szCs w:val="1"/>
                <w:color w:val="auto"/>
              </w:rPr>
            </w:pPr>
          </w:p>
        </w:tc>
      </w:tr>
      <w:tr>
        <w:trPr>
          <w:trHeight w:val="141"/>
        </w:trPr>
        <w:tc>
          <w:tcPr>
            <w:tcW w:w="2740" w:type="dxa"/>
            <w:vAlign w:val="bottom"/>
            <w:shd w:val="clear" w:color="auto" w:fill="CCEEFF"/>
          </w:tcPr>
          <w:p>
            <w:pPr>
              <w:ind w:left="600"/>
              <w:spacing w:after="0" w:line="141" w:lineRule="exact"/>
              <w:rPr>
                <w:sz w:val="20"/>
                <w:szCs w:val="20"/>
                <w:color w:val="auto"/>
              </w:rPr>
            </w:pPr>
            <w:r>
              <w:rPr>
                <w:rFonts w:ascii="Arial" w:cs="Arial" w:eastAsia="Arial" w:hAnsi="Arial"/>
                <w:sz w:val="13"/>
                <w:szCs w:val="13"/>
                <w:b w:val="1"/>
                <w:bCs w:val="1"/>
                <w:color w:val="auto"/>
              </w:rPr>
              <w:t>LIABILITIES AND EQUITY</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740" w:type="dxa"/>
            <w:vAlign w:val="bottom"/>
          </w:tcPr>
          <w:p>
            <w:pPr>
              <w:ind w:left="40"/>
              <w:spacing w:after="0"/>
              <w:rPr>
                <w:sz w:val="20"/>
                <w:szCs w:val="20"/>
                <w:color w:val="auto"/>
              </w:rPr>
            </w:pPr>
            <w:r>
              <w:rPr>
                <w:rFonts w:ascii="Arial" w:cs="Arial" w:eastAsia="Arial" w:hAnsi="Arial"/>
                <w:sz w:val="13"/>
                <w:szCs w:val="13"/>
                <w:b w:val="1"/>
                <w:bCs w:val="1"/>
                <w:color w:val="auto"/>
              </w:rPr>
              <w:t>Current Liabilities</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Accounts payable (principally trade)(b)</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22,359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22,297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23,692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23,929</w:t>
            </w:r>
          </w:p>
        </w:tc>
        <w:tc>
          <w:tcPr>
            <w:tcW w:w="0" w:type="dxa"/>
            <w:vAlign w:val="bottom"/>
          </w:tcPr>
          <w:p>
            <w:pPr>
              <w:spacing w:after="0"/>
              <w:rPr>
                <w:sz w:val="1"/>
                <w:szCs w:val="1"/>
                <w:color w:val="auto"/>
              </w:rPr>
            </w:pPr>
          </w:p>
        </w:tc>
      </w:tr>
      <w:tr>
        <w:trPr>
          <w:trHeight w:val="140"/>
        </w:trPr>
        <w:tc>
          <w:tcPr>
            <w:tcW w:w="2740" w:type="dxa"/>
            <w:vAlign w:val="bottom"/>
          </w:tcPr>
          <w:p>
            <w:pPr>
              <w:ind w:left="180"/>
              <w:spacing w:after="0" w:line="140" w:lineRule="exact"/>
              <w:rPr>
                <w:sz w:val="20"/>
                <w:szCs w:val="20"/>
                <w:color w:val="auto"/>
              </w:rPr>
            </w:pPr>
            <w:r>
              <w:rPr>
                <w:rFonts w:ascii="Arial" w:cs="Arial" w:eastAsia="Arial" w:hAnsi="Arial"/>
                <w:sz w:val="13"/>
                <w:szCs w:val="13"/>
                <w:color w:val="auto"/>
              </w:rPr>
              <w:t>Short-term debt and current portion of long-</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740" w:type="dxa"/>
            <w:vAlign w:val="bottom"/>
          </w:tcPr>
          <w:p>
            <w:pPr>
              <w:ind w:left="340"/>
              <w:spacing w:after="0"/>
              <w:rPr>
                <w:sz w:val="20"/>
                <w:szCs w:val="20"/>
                <w:color w:val="auto"/>
              </w:rPr>
            </w:pPr>
            <w:r>
              <w:rPr>
                <w:rFonts w:ascii="Arial" w:cs="Arial" w:eastAsia="Arial" w:hAnsi="Arial"/>
                <w:sz w:val="13"/>
                <w:szCs w:val="13"/>
                <w:color w:val="auto"/>
              </w:rPr>
              <w:t>term debt</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Automotive(c)</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935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2,515</w:t>
            </w:r>
          </w:p>
        </w:tc>
        <w:tc>
          <w:tcPr>
            <w:tcW w:w="0" w:type="dxa"/>
            <w:vAlign w:val="bottom"/>
          </w:tcPr>
          <w:p>
            <w:pPr>
              <w:spacing w:after="0"/>
              <w:rPr>
                <w:sz w:val="1"/>
                <w:szCs w:val="1"/>
                <w:color w:val="auto"/>
              </w:rPr>
            </w:pPr>
          </w:p>
        </w:tc>
      </w:tr>
      <w:tr>
        <w:trPr>
          <w:trHeight w:val="209"/>
        </w:trPr>
        <w:tc>
          <w:tcPr>
            <w:tcW w:w="2740" w:type="dxa"/>
            <w:vAlign w:val="bottom"/>
          </w:tcPr>
          <w:p>
            <w:pPr>
              <w:ind w:left="340"/>
              <w:spacing w:after="0"/>
              <w:rPr>
                <w:sz w:val="20"/>
                <w:szCs w:val="20"/>
                <w:color w:val="auto"/>
              </w:rPr>
            </w:pPr>
            <w:r>
              <w:rPr>
                <w:rFonts w:ascii="Arial" w:cs="Arial" w:eastAsia="Arial" w:hAnsi="Arial"/>
                <w:sz w:val="13"/>
                <w:szCs w:val="13"/>
                <w:color w:val="auto"/>
              </w:rPr>
              <w:t>GM Financial</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30,956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30,956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24,450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24,450</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Accrued liabilities</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24,042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3,985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28,049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22,518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25,996</w:t>
            </w:r>
          </w:p>
        </w:tc>
        <w:tc>
          <w:tcPr>
            <w:tcW w:w="0" w:type="dxa"/>
            <w:vAlign w:val="bottom"/>
          </w:tcPr>
          <w:p>
            <w:pPr>
              <w:spacing w:after="0"/>
              <w:rPr>
                <w:sz w:val="1"/>
                <w:szCs w:val="1"/>
                <w:color w:val="auto"/>
              </w:rPr>
            </w:pPr>
          </w:p>
        </w:tc>
      </w:tr>
      <w:tr>
        <w:trPr>
          <w:trHeight w:val="203"/>
        </w:trPr>
        <w:tc>
          <w:tcPr>
            <w:tcW w:w="2740" w:type="dxa"/>
            <w:vAlign w:val="bottom"/>
          </w:tcPr>
          <w:p>
            <w:pPr>
              <w:ind w:left="180"/>
              <w:spacing w:after="0"/>
              <w:rPr>
                <w:sz w:val="20"/>
                <w:szCs w:val="20"/>
                <w:color w:val="auto"/>
              </w:rPr>
            </w:pPr>
            <w:r>
              <w:rPr>
                <w:rFonts w:ascii="Arial" w:cs="Arial" w:eastAsia="Arial" w:hAnsi="Arial"/>
                <w:sz w:val="13"/>
                <w:szCs w:val="13"/>
                <w:color w:val="auto"/>
              </w:rPr>
              <w:t>Total current liabilities</w:t>
            </w: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47,853</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69</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58"/>
              <w:spacing w:after="0"/>
              <w:rPr>
                <w:sz w:val="20"/>
                <w:szCs w:val="20"/>
                <w:color w:val="auto"/>
              </w:rPr>
            </w:pPr>
            <w:r>
              <w:rPr>
                <w:rFonts w:ascii="Arial" w:cs="Arial" w:eastAsia="Arial" w:hAnsi="Arial"/>
                <w:sz w:val="13"/>
                <w:szCs w:val="13"/>
                <w:color w:val="auto"/>
              </w:rPr>
              <w:t>35,648</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(1,333)</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82,237</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49,105</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28,536</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(781)</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76,890</w:t>
            </w:r>
          </w:p>
        </w:tc>
        <w:tc>
          <w:tcPr>
            <w:tcW w:w="0" w:type="dxa"/>
            <w:vAlign w:val="bottom"/>
          </w:tcPr>
          <w:p>
            <w:pPr>
              <w:spacing w:after="0"/>
              <w:rPr>
                <w:sz w:val="1"/>
                <w:szCs w:val="1"/>
                <w:color w:val="auto"/>
              </w:rPr>
            </w:pPr>
          </w:p>
        </w:tc>
      </w:tr>
      <w:tr>
        <w:trPr>
          <w:trHeight w:val="188"/>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Non-current Liabilities</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7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740" w:type="dxa"/>
            <w:vAlign w:val="bottom"/>
          </w:tcPr>
          <w:p>
            <w:pPr>
              <w:ind w:left="180"/>
              <w:spacing w:after="0"/>
              <w:rPr>
                <w:sz w:val="20"/>
                <w:szCs w:val="20"/>
                <w:color w:val="auto"/>
              </w:rPr>
            </w:pPr>
            <w:r>
              <w:rPr>
                <w:rFonts w:ascii="Arial" w:cs="Arial" w:eastAsia="Arial" w:hAnsi="Arial"/>
                <w:sz w:val="13"/>
                <w:szCs w:val="13"/>
                <w:color w:val="auto"/>
              </w:rPr>
              <w:t>Long-term debt</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Automotive(c)</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13,090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13,028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11,050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10,987</w:t>
            </w:r>
          </w:p>
        </w:tc>
        <w:tc>
          <w:tcPr>
            <w:tcW w:w="0" w:type="dxa"/>
            <w:vAlign w:val="bottom"/>
          </w:tcPr>
          <w:p>
            <w:pPr>
              <w:spacing w:after="0"/>
              <w:rPr>
                <w:sz w:val="1"/>
                <w:szCs w:val="1"/>
                <w:color w:val="auto"/>
              </w:rPr>
            </w:pPr>
          </w:p>
        </w:tc>
      </w:tr>
      <w:tr>
        <w:trPr>
          <w:trHeight w:val="209"/>
        </w:trPr>
        <w:tc>
          <w:tcPr>
            <w:tcW w:w="2740" w:type="dxa"/>
            <w:vAlign w:val="bottom"/>
          </w:tcPr>
          <w:p>
            <w:pPr>
              <w:ind w:left="340"/>
              <w:spacing w:after="0"/>
              <w:rPr>
                <w:sz w:val="20"/>
                <w:szCs w:val="20"/>
                <w:color w:val="auto"/>
              </w:rPr>
            </w:pPr>
            <w:r>
              <w:rPr>
                <w:rFonts w:ascii="Arial" w:cs="Arial" w:eastAsia="Arial" w:hAnsi="Arial"/>
                <w:sz w:val="13"/>
                <w:szCs w:val="13"/>
                <w:color w:val="auto"/>
              </w:rPr>
              <w:t>GM Financial</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60,032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60,032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56,267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56,267</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Postretirement benefits other than pensions</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5,370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5,370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5,998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5,998</w:t>
            </w:r>
          </w:p>
        </w:tc>
        <w:tc>
          <w:tcPr>
            <w:tcW w:w="0" w:type="dxa"/>
            <w:vAlign w:val="bottom"/>
          </w:tcPr>
          <w:p>
            <w:pPr>
              <w:spacing w:after="0"/>
              <w:rPr>
                <w:sz w:val="1"/>
                <w:szCs w:val="1"/>
                <w:color w:val="auto"/>
              </w:rPr>
            </w:pPr>
          </w:p>
        </w:tc>
      </w:tr>
      <w:tr>
        <w:trPr>
          <w:trHeight w:val="209"/>
        </w:trPr>
        <w:tc>
          <w:tcPr>
            <w:tcW w:w="2740" w:type="dxa"/>
            <w:vAlign w:val="bottom"/>
          </w:tcPr>
          <w:p>
            <w:pPr>
              <w:ind w:left="180"/>
              <w:spacing w:after="0"/>
              <w:rPr>
                <w:sz w:val="20"/>
                <w:szCs w:val="20"/>
                <w:color w:val="auto"/>
              </w:rPr>
            </w:pPr>
            <w:r>
              <w:rPr>
                <w:rFonts w:ascii="Arial" w:cs="Arial" w:eastAsia="Arial" w:hAnsi="Arial"/>
                <w:sz w:val="13"/>
                <w:szCs w:val="13"/>
                <w:color w:val="auto"/>
              </w:rPr>
              <w:t>Pensions</w:t>
            </w:r>
          </w:p>
        </w:tc>
        <w:tc>
          <w:tcPr>
            <w:tcW w:w="100" w:type="dxa"/>
            <w:vAlign w:val="bottom"/>
          </w:tcPr>
          <w:p>
            <w:pPr>
              <w:spacing w:after="0"/>
              <w:rPr>
                <w:sz w:val="18"/>
                <w:szCs w:val="18"/>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11,535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11,538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13,743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13,746</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liabilities</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10,167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2,155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12,357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10,682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12,394</w:t>
            </w:r>
          </w:p>
        </w:tc>
        <w:tc>
          <w:tcPr>
            <w:tcW w:w="0" w:type="dxa"/>
            <w:vAlign w:val="bottom"/>
          </w:tcPr>
          <w:p>
            <w:pPr>
              <w:spacing w:after="0"/>
              <w:rPr>
                <w:sz w:val="1"/>
                <w:szCs w:val="1"/>
                <w:color w:val="auto"/>
              </w:rPr>
            </w:pPr>
          </w:p>
        </w:tc>
      </w:tr>
      <w:tr>
        <w:trPr>
          <w:trHeight w:val="203"/>
        </w:trPr>
        <w:tc>
          <w:tcPr>
            <w:tcW w:w="27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Total non-current liabilities</w:t>
            </w: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40,162</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35</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62,190</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(62)</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102,325</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41,473</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7</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57,975</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(63)</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99,392</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Total Liabilities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88,015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97,838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184,562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90,578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86,511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176,282</w:t>
            </w:r>
          </w:p>
        </w:tc>
        <w:tc>
          <w:tcPr>
            <w:tcW w:w="0" w:type="dxa"/>
            <w:vAlign w:val="bottom"/>
          </w:tcPr>
          <w:p>
            <w:pPr>
              <w:spacing w:after="0"/>
              <w:rPr>
                <w:sz w:val="1"/>
                <w:szCs w:val="1"/>
                <w:color w:val="auto"/>
              </w:rPr>
            </w:pPr>
          </w:p>
        </w:tc>
      </w:tr>
      <w:tr>
        <w:trPr>
          <w:trHeight w:val="175"/>
        </w:trPr>
        <w:tc>
          <w:tcPr>
            <w:tcW w:w="2740" w:type="dxa"/>
            <w:vAlign w:val="bottom"/>
          </w:tcPr>
          <w:p>
            <w:pPr>
              <w:ind w:left="40"/>
              <w:spacing w:after="0"/>
              <w:rPr>
                <w:sz w:val="20"/>
                <w:szCs w:val="20"/>
                <w:color w:val="auto"/>
              </w:rPr>
            </w:pPr>
            <w:r>
              <w:rPr>
                <w:rFonts w:ascii="Arial" w:cs="Arial" w:eastAsia="Arial" w:hAnsi="Arial"/>
                <w:sz w:val="13"/>
                <w:szCs w:val="13"/>
                <w:color w:val="auto"/>
              </w:rPr>
              <w:t>Commitments and contingencies</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Equity</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7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740" w:type="dxa"/>
            <w:vAlign w:val="bottom"/>
          </w:tcPr>
          <w:p>
            <w:pPr>
              <w:ind w:left="120"/>
              <w:spacing w:after="0"/>
              <w:rPr>
                <w:sz w:val="20"/>
                <w:szCs w:val="20"/>
                <w:color w:val="auto"/>
              </w:rPr>
            </w:pPr>
            <w:r>
              <w:rPr>
                <w:rFonts w:ascii="Arial" w:cs="Arial" w:eastAsia="Arial" w:hAnsi="Arial"/>
                <w:sz w:val="13"/>
                <w:szCs w:val="13"/>
                <w:color w:val="auto"/>
              </w:rPr>
              <w:t>Common stock, $0.01 par value</w:t>
            </w:r>
          </w:p>
        </w:tc>
        <w:tc>
          <w:tcPr>
            <w:tcW w:w="100" w:type="dxa"/>
            <w:vAlign w:val="bottom"/>
          </w:tcPr>
          <w:p>
            <w:pPr>
              <w:spacing w:after="0"/>
              <w:rPr>
                <w:sz w:val="18"/>
                <w:szCs w:val="18"/>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Preferred stock, $0.01 par value</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9"/>
        </w:trPr>
        <w:tc>
          <w:tcPr>
            <w:tcW w:w="2740" w:type="dxa"/>
            <w:vAlign w:val="bottom"/>
          </w:tcPr>
          <w:p>
            <w:pPr>
              <w:ind w:left="120"/>
              <w:spacing w:after="0"/>
              <w:rPr>
                <w:sz w:val="20"/>
                <w:szCs w:val="20"/>
                <w:color w:val="auto"/>
              </w:rPr>
            </w:pPr>
            <w:r>
              <w:rPr>
                <w:rFonts w:ascii="Arial" w:cs="Arial" w:eastAsia="Arial" w:hAnsi="Arial"/>
                <w:sz w:val="13"/>
                <w:szCs w:val="13"/>
                <w:color w:val="auto"/>
              </w:rPr>
              <w:t>Additional paid-in capital(a)(d)</w:t>
            </w:r>
          </w:p>
        </w:tc>
        <w:tc>
          <w:tcPr>
            <w:tcW w:w="100" w:type="dxa"/>
            <w:vAlign w:val="bottom"/>
          </w:tcPr>
          <w:p>
            <w:pPr>
              <w:spacing w:after="0"/>
              <w:rPr>
                <w:sz w:val="18"/>
                <w:szCs w:val="18"/>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25,606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1,373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25,563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25,371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985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25,371</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Retained earnings(a)</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9,103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8"/>
              </w:rPr>
              <w:t>1,480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11,783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22,322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6,499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10,499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17,627</w:t>
            </w:r>
          </w:p>
        </w:tc>
        <w:tc>
          <w:tcPr>
            <w:tcW w:w="0" w:type="dxa"/>
            <w:vAlign w:val="bottom"/>
          </w:tcPr>
          <w:p>
            <w:pPr>
              <w:spacing w:after="0"/>
              <w:rPr>
                <w:sz w:val="1"/>
                <w:szCs w:val="1"/>
                <w:color w:val="auto"/>
              </w:rPr>
            </w:pPr>
          </w:p>
        </w:tc>
      </w:tr>
      <w:tr>
        <w:trPr>
          <w:trHeight w:val="210"/>
        </w:trPr>
        <w:tc>
          <w:tcPr>
            <w:tcW w:w="2740" w:type="dxa"/>
            <w:vAlign w:val="bottom"/>
          </w:tcPr>
          <w:p>
            <w:pPr>
              <w:ind w:left="120"/>
              <w:spacing w:after="0"/>
              <w:rPr>
                <w:sz w:val="20"/>
                <w:szCs w:val="20"/>
                <w:color w:val="auto"/>
              </w:rPr>
            </w:pPr>
            <w:r>
              <w:rPr>
                <w:rFonts w:ascii="Arial" w:cs="Arial" w:eastAsia="Arial" w:hAnsi="Arial"/>
                <w:sz w:val="13"/>
                <w:szCs w:val="13"/>
                <w:color w:val="auto"/>
              </w:rPr>
              <w:t>Accumulated other comprehensive loss</w:t>
            </w:r>
          </w:p>
        </w:tc>
        <w:tc>
          <w:tcPr>
            <w:tcW w:w="100" w:type="dxa"/>
            <w:vAlign w:val="bottom"/>
          </w:tcPr>
          <w:p>
            <w:pPr>
              <w:spacing w:after="0"/>
              <w:rPr>
                <w:sz w:val="18"/>
                <w:szCs w:val="18"/>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(7,998)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700" w:type="dxa"/>
            <w:vAlign w:val="bottom"/>
          </w:tcPr>
          <w:p>
            <w:pPr>
              <w:jc w:val="right"/>
              <w:ind w:right="18"/>
              <w:spacing w:after="0"/>
              <w:rPr>
                <w:sz w:val="20"/>
                <w:szCs w:val="20"/>
                <w:color w:val="auto"/>
              </w:rPr>
            </w:pPr>
            <w:r>
              <w:rPr>
                <w:rFonts w:ascii="Arial" w:cs="Arial" w:eastAsia="Arial" w:hAnsi="Arial"/>
                <w:sz w:val="13"/>
                <w:szCs w:val="13"/>
                <w:color w:val="auto"/>
              </w:rPr>
              <w:t>(1,041)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(9,039)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(7,267)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(8,011)</w:t>
            </w:r>
          </w:p>
        </w:tc>
        <w:tc>
          <w:tcPr>
            <w:tcW w:w="0" w:type="dxa"/>
            <w:vAlign w:val="bottom"/>
          </w:tcPr>
          <w:p>
            <w:pPr>
              <w:spacing w:after="0"/>
              <w:rPr>
                <w:sz w:val="1"/>
                <w:szCs w:val="1"/>
                <w:color w:val="auto"/>
              </w:rPr>
            </w:pPr>
          </w:p>
        </w:tc>
      </w:tr>
      <w:tr>
        <w:trPr>
          <w:trHeight w:val="216"/>
        </w:trPr>
        <w:tc>
          <w:tcPr>
            <w:tcW w:w="27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 stockholders’ equity</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26,725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98"/>
              </w:rPr>
              <w:t>1,484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12,115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38,860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24,617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629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10,740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35,001</w:t>
            </w:r>
          </w:p>
        </w:tc>
        <w:tc>
          <w:tcPr>
            <w:tcW w:w="0" w:type="dxa"/>
            <w:vAlign w:val="bottom"/>
          </w:tcPr>
          <w:p>
            <w:pPr>
              <w:spacing w:after="0"/>
              <w:rPr>
                <w:sz w:val="1"/>
                <w:szCs w:val="1"/>
                <w:color w:val="auto"/>
              </w:rPr>
            </w:pPr>
          </w:p>
        </w:tc>
      </w:tr>
      <w:tr>
        <w:trPr>
          <w:trHeight w:val="210"/>
        </w:trPr>
        <w:tc>
          <w:tcPr>
            <w:tcW w:w="274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Noncontrolling interests(d)</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938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98"/>
              </w:rPr>
              <w:t>1,607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1,372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3,917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985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1,199</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Total Equity</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27,663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8"/>
              </w:rPr>
              <w:t>3,091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12,115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42,777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24,831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10,740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36,200</w:t>
            </w:r>
          </w:p>
        </w:tc>
        <w:tc>
          <w:tcPr>
            <w:tcW w:w="0" w:type="dxa"/>
            <w:vAlign w:val="bottom"/>
          </w:tcPr>
          <w:p>
            <w:pPr>
              <w:spacing w:after="0"/>
              <w:rPr>
                <w:sz w:val="1"/>
                <w:szCs w:val="1"/>
                <w:color w:val="auto"/>
              </w:rPr>
            </w:pPr>
          </w:p>
        </w:tc>
      </w:tr>
      <w:tr>
        <w:trPr>
          <w:trHeight w:val="196"/>
        </w:trPr>
        <w:tc>
          <w:tcPr>
            <w:tcW w:w="2740" w:type="dxa"/>
            <w:vAlign w:val="bottom"/>
          </w:tcPr>
          <w:p>
            <w:pPr>
              <w:ind w:left="40"/>
              <w:spacing w:after="0"/>
              <w:rPr>
                <w:sz w:val="20"/>
                <w:szCs w:val="20"/>
                <w:color w:val="auto"/>
              </w:rPr>
            </w:pPr>
            <w:r>
              <w:rPr>
                <w:rFonts w:ascii="Arial" w:cs="Arial" w:eastAsia="Arial" w:hAnsi="Arial"/>
                <w:sz w:val="13"/>
                <w:szCs w:val="13"/>
                <w:b w:val="1"/>
                <w:bCs w:val="1"/>
                <w:color w:val="auto"/>
              </w:rPr>
              <w:t>Total Liabilities and Equity</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115,678</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w w:val="98"/>
              </w:rPr>
              <w:t>3,195</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tcPr>
          <w:p>
            <w:pPr>
              <w:jc w:val="right"/>
              <w:ind w:right="58"/>
              <w:spacing w:after="0"/>
              <w:rPr>
                <w:sz w:val="20"/>
                <w:szCs w:val="20"/>
                <w:color w:val="auto"/>
              </w:rPr>
            </w:pPr>
            <w:r>
              <w:rPr>
                <w:rFonts w:ascii="Arial" w:cs="Arial" w:eastAsia="Arial" w:hAnsi="Arial"/>
                <w:sz w:val="13"/>
                <w:szCs w:val="13"/>
                <w:color w:val="auto"/>
              </w:rPr>
              <w:t>109,953</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(1,487)</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227,339</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w w:val="93"/>
              </w:rPr>
              <w:t>115,409</w:t>
            </w:r>
          </w:p>
        </w:tc>
        <w:tc>
          <w:tcPr>
            <w:tcW w:w="120" w:type="dxa"/>
            <w:vAlign w:val="bottom"/>
          </w:tcPr>
          <w:p>
            <w:pPr>
              <w:spacing w:after="0"/>
              <w:rPr>
                <w:sz w:val="17"/>
                <w:szCs w:val="17"/>
                <w:color w:val="auto"/>
              </w:rPr>
            </w:pPr>
          </w:p>
        </w:tc>
        <w:tc>
          <w:tcPr>
            <w:tcW w:w="160" w:type="dxa"/>
            <w:vAlign w:val="bottom"/>
            <w:tcBorders>
              <w:top w:val="single" w:sz="8" w:color="auto"/>
            </w:tcBorders>
          </w:tcPr>
          <w:p>
            <w:pPr>
              <w:jc w:val="right"/>
              <w:ind w:right="1"/>
              <w:spacing w:after="0"/>
              <w:rPr>
                <w:sz w:val="20"/>
                <w:szCs w:val="20"/>
                <w:color w:val="auto"/>
              </w:rPr>
            </w:pPr>
            <w:r>
              <w:rPr>
                <w:rFonts w:ascii="Arial" w:cs="Arial" w:eastAsia="Arial" w:hAnsi="Arial"/>
                <w:sz w:val="13"/>
                <w:szCs w:val="13"/>
                <w:color w:val="auto"/>
              </w:rPr>
              <w:t>$</w:t>
            </w:r>
          </w:p>
        </w:tc>
        <w:tc>
          <w:tcPr>
            <w:tcW w:w="4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666</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97,251</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(844)</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212,482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8890</wp:posOffset>
            </wp:positionV>
            <wp:extent cx="54540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54015" cy="889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1"/>
          <w:szCs w:val="11"/>
          <w:color w:val="auto"/>
        </w:rPr>
        <w:t>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-77470</wp:posOffset>
            </wp:positionV>
            <wp:extent cx="54540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54015" cy="8890"/>
                    </a:xfrm>
                    <a:prstGeom prst="rect">
                      <a:avLst/>
                    </a:prstGeom>
                    <a:noFill/>
                  </pic:spPr>
                </pic:pic>
              </a:graphicData>
            </a:graphic>
          </wp:anchor>
        </w:drawing>
      </w:r>
    </w:p>
    <w:p>
      <w:pPr>
        <w:ind w:left="340" w:hanging="332"/>
        <w:spacing w:after="0"/>
        <w:tabs>
          <w:tab w:leader="none" w:pos="340" w:val="left"/>
        </w:tabs>
        <w:numPr>
          <w:ilvl w:val="0"/>
          <w:numId w:val="13"/>
        </w:numPr>
        <w:rPr>
          <w:rFonts w:ascii="Arial" w:cs="Arial" w:eastAsia="Arial" w:hAnsi="Arial"/>
          <w:sz w:val="11"/>
          <w:szCs w:val="11"/>
          <w:color w:val="auto"/>
        </w:rPr>
      </w:pPr>
      <w:r>
        <w:rPr>
          <w:rFonts w:ascii="Arial" w:cs="Arial" w:eastAsia="Arial" w:hAnsi="Arial"/>
          <w:sz w:val="11"/>
          <w:szCs w:val="11"/>
          <w:color w:val="auto"/>
        </w:rPr>
        <w:t>Elimination primarily includes GM Cruise purchase of GM common stock.</w:t>
      </w:r>
    </w:p>
    <w:p>
      <w:pPr>
        <w:ind w:left="340" w:hanging="332"/>
        <w:spacing w:after="0" w:line="230" w:lineRule="auto"/>
        <w:tabs>
          <w:tab w:leader="none" w:pos="340" w:val="left"/>
        </w:tabs>
        <w:numPr>
          <w:ilvl w:val="0"/>
          <w:numId w:val="13"/>
        </w:numPr>
        <w:rPr>
          <w:rFonts w:ascii="Arial" w:cs="Arial" w:eastAsia="Arial" w:hAnsi="Arial"/>
          <w:sz w:val="11"/>
          <w:szCs w:val="11"/>
          <w:color w:val="auto"/>
        </w:rPr>
      </w:pPr>
      <w:r>
        <w:rPr>
          <w:rFonts w:ascii="Arial" w:cs="Arial" w:eastAsia="Arial" w:hAnsi="Arial"/>
          <w:sz w:val="11"/>
          <w:szCs w:val="11"/>
          <w:color w:val="auto"/>
        </w:rPr>
        <w:t>Eliminations primarily include Automotive accounts receivable of $63 million offset by GM Financial accounts payable, GM Financial accounts receivable of $729 million offset by Automotive accounts payable at December 31, 2018 and GM Financial accounts receivable of $309 million offset by Automotive accounts payable and Automotive accounts receivable of $92 million offset by GM Financial accounts payable at December 31, 2017.</w:t>
      </w:r>
    </w:p>
    <w:p>
      <w:pPr>
        <w:ind w:left="340" w:hanging="332"/>
        <w:spacing w:after="0" w:line="230" w:lineRule="auto"/>
        <w:tabs>
          <w:tab w:leader="none" w:pos="340" w:val="left"/>
        </w:tabs>
        <w:numPr>
          <w:ilvl w:val="0"/>
          <w:numId w:val="13"/>
        </w:numPr>
        <w:rPr>
          <w:rFonts w:ascii="Arial" w:cs="Arial" w:eastAsia="Arial" w:hAnsi="Arial"/>
          <w:sz w:val="11"/>
          <w:szCs w:val="11"/>
          <w:color w:val="auto"/>
        </w:rPr>
      </w:pPr>
      <w:r>
        <w:rPr>
          <w:rFonts w:ascii="Arial" w:cs="Arial" w:eastAsia="Arial" w:hAnsi="Arial"/>
          <w:sz w:val="11"/>
          <w:szCs w:val="11"/>
          <w:color w:val="auto"/>
        </w:rPr>
        <w:t>Eliminations include GM Financial loan receivable of $579 million and $443 million offset by an Automotive loan payable at December 31, 2018 and December 31, 2017</w:t>
      </w:r>
    </w:p>
    <w:p>
      <w:pPr>
        <w:ind w:left="340" w:hanging="332"/>
        <w:spacing w:after="0"/>
        <w:tabs>
          <w:tab w:leader="none" w:pos="340" w:val="left"/>
        </w:tabs>
        <w:numPr>
          <w:ilvl w:val="0"/>
          <w:numId w:val="13"/>
        </w:numPr>
        <w:rPr>
          <w:rFonts w:ascii="Arial" w:cs="Arial" w:eastAsia="Arial" w:hAnsi="Arial"/>
          <w:sz w:val="11"/>
          <w:szCs w:val="11"/>
          <w:color w:val="auto"/>
        </w:rPr>
      </w:pPr>
      <w:r>
        <w:rPr>
          <w:rFonts w:ascii="Arial" w:cs="Arial" w:eastAsia="Arial" w:hAnsi="Arial"/>
          <w:sz w:val="11"/>
          <w:szCs w:val="11"/>
          <w:color w:val="auto"/>
        </w:rPr>
        <w:t>Reclassification of GM Financial Cumulative Perpetual Preferred Stock, Series A and B. The preferred stock is classified as noncontrolling interests in our condensed consolidated balance sheet.</w:t>
      </w:r>
    </w:p>
    <w:p>
      <w:pPr>
        <w:sectPr>
          <w:pgSz w:w="11900" w:h="16838" w:orient="portrait"/>
          <w:cols w:equalWidth="0" w:num="1">
            <w:col w:w="11420"/>
          </w:cols>
          <w:pgMar w:left="240" w:top="335" w:right="239" w:bottom="1440" w:gutter="0" w:footer="0" w:header="0"/>
        </w:sect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335" w:right="2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Combining Cash Flow Information</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millions) (Unaudited)</w:t>
      </w:r>
    </w:p>
    <w:p>
      <w:pPr>
        <w:spacing w:after="0" w:line="288" w:lineRule="exact"/>
        <w:rPr>
          <w:sz w:val="20"/>
          <w:szCs w:val="20"/>
          <w:color w:val="auto"/>
        </w:rPr>
      </w:pPr>
    </w:p>
    <w:tbl>
      <w:tblPr>
        <w:tblLayout w:type="fixed"/>
        <w:tblInd w:w="2940" w:type="dxa"/>
        <w:tblCellMar>
          <w:top w:w="0" w:type="dxa"/>
          <w:left w:w="0" w:type="dxa"/>
          <w:bottom w:w="0" w:type="dxa"/>
          <w:right w:w="0" w:type="dxa"/>
        </w:tblCellMar>
      </w:tblPr>
      <w:tr>
        <w:trPr>
          <w:trHeight w:val="130"/>
        </w:trPr>
        <w:tc>
          <w:tcPr>
            <w:tcW w:w="6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gridSpan w:val="2"/>
          </w:tcPr>
          <w:p>
            <w:pPr>
              <w:ind w:left="100"/>
              <w:spacing w:after="0"/>
              <w:rPr>
                <w:sz w:val="20"/>
                <w:szCs w:val="20"/>
                <w:color w:val="auto"/>
              </w:rPr>
            </w:pPr>
            <w:r>
              <w:rPr>
                <w:rFonts w:ascii="Arial" w:cs="Arial" w:eastAsia="Arial" w:hAnsi="Arial"/>
                <w:sz w:val="9"/>
                <w:szCs w:val="9"/>
                <w:b w:val="1"/>
                <w:bCs w:val="1"/>
                <w:color w:val="auto"/>
              </w:rPr>
              <w:t>Year Ended December 31, 2018</w:t>
            </w:r>
          </w:p>
        </w:tc>
        <w:tc>
          <w:tcPr>
            <w:tcW w:w="6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240" w:type="dxa"/>
            <w:vAlign w:val="bottom"/>
            <w:tcBorders>
              <w:bottom w:val="single" w:sz="8" w:color="auto"/>
            </w:tcBorders>
            <w:gridSpan w:val="2"/>
          </w:tcPr>
          <w:p>
            <w:pPr>
              <w:ind w:left="180"/>
              <w:spacing w:after="0"/>
              <w:rPr>
                <w:sz w:val="20"/>
                <w:szCs w:val="20"/>
                <w:color w:val="auto"/>
              </w:rPr>
            </w:pPr>
            <w:r>
              <w:rPr>
                <w:rFonts w:ascii="Arial" w:cs="Arial" w:eastAsia="Arial" w:hAnsi="Arial"/>
                <w:sz w:val="9"/>
                <w:szCs w:val="9"/>
                <w:b w:val="1"/>
                <w:bCs w:val="1"/>
                <w:color w:val="auto"/>
              </w:rPr>
              <w:t>Year Ended December 31, 2017</w:t>
            </w: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80" w:type="dxa"/>
            <w:vAlign w:val="bottom"/>
            <w:vMerge w:val="restart"/>
          </w:tcPr>
          <w:p>
            <w:pPr>
              <w:ind w:left="60"/>
              <w:spacing w:after="0"/>
              <w:rPr>
                <w:sz w:val="20"/>
                <w:szCs w:val="20"/>
                <w:color w:val="auto"/>
              </w:rPr>
            </w:pPr>
            <w:r>
              <w:rPr>
                <w:rFonts w:ascii="Arial" w:cs="Arial" w:eastAsia="Arial" w:hAnsi="Arial"/>
                <w:sz w:val="9"/>
                <w:szCs w:val="9"/>
                <w:b w:val="1"/>
                <w:bCs w:val="1"/>
                <w:color w:val="auto"/>
              </w:rPr>
              <w:t>Automotive</w:t>
            </w:r>
          </w:p>
        </w:tc>
        <w:tc>
          <w:tcPr>
            <w:tcW w:w="680" w:type="dxa"/>
            <w:vAlign w:val="bottom"/>
            <w:vMerge w:val="restart"/>
          </w:tcPr>
          <w:p>
            <w:pPr>
              <w:ind w:left="120"/>
              <w:spacing w:after="0"/>
              <w:rPr>
                <w:sz w:val="20"/>
                <w:szCs w:val="20"/>
                <w:color w:val="auto"/>
              </w:rPr>
            </w:pPr>
            <w:r>
              <w:rPr>
                <w:rFonts w:ascii="Arial" w:cs="Arial" w:eastAsia="Arial" w:hAnsi="Arial"/>
                <w:sz w:val="9"/>
                <w:szCs w:val="9"/>
                <w:b w:val="1"/>
                <w:bCs w:val="1"/>
                <w:color w:val="auto"/>
              </w:rPr>
              <w:t>GM Cruise</w:t>
            </w:r>
          </w:p>
        </w:tc>
        <w:tc>
          <w:tcPr>
            <w:tcW w:w="740" w:type="dxa"/>
            <w:vAlign w:val="bottom"/>
            <w:vMerge w:val="restart"/>
          </w:tcPr>
          <w:p>
            <w:pPr>
              <w:ind w:left="100"/>
              <w:spacing w:after="0"/>
              <w:rPr>
                <w:sz w:val="20"/>
                <w:szCs w:val="20"/>
                <w:color w:val="auto"/>
              </w:rPr>
            </w:pPr>
            <w:r>
              <w:rPr>
                <w:rFonts w:ascii="Arial" w:cs="Arial" w:eastAsia="Arial" w:hAnsi="Arial"/>
                <w:sz w:val="9"/>
                <w:szCs w:val="9"/>
                <w:b w:val="1"/>
                <w:bCs w:val="1"/>
                <w:color w:val="auto"/>
              </w:rPr>
              <w:t>GM Financial</w:t>
            </w:r>
          </w:p>
        </w:tc>
        <w:tc>
          <w:tcPr>
            <w:tcW w:w="1460" w:type="dxa"/>
            <w:vAlign w:val="bottom"/>
            <w:vMerge w:val="restart"/>
          </w:tcPr>
          <w:p>
            <w:pPr>
              <w:ind w:left="100"/>
              <w:spacing w:after="0"/>
              <w:rPr>
                <w:sz w:val="20"/>
                <w:szCs w:val="20"/>
                <w:color w:val="auto"/>
              </w:rPr>
            </w:pPr>
            <w:r>
              <w:rPr>
                <w:rFonts w:ascii="Arial" w:cs="Arial" w:eastAsia="Arial" w:hAnsi="Arial"/>
                <w:sz w:val="9"/>
                <w:szCs w:val="9"/>
                <w:b w:val="1"/>
                <w:bCs w:val="1"/>
                <w:color w:val="auto"/>
              </w:rPr>
              <w:t>Reclassification/Eliminations</w:t>
            </w:r>
          </w:p>
        </w:tc>
        <w:tc>
          <w:tcPr>
            <w:tcW w:w="780" w:type="dxa"/>
            <w:vAlign w:val="bottom"/>
            <w:gridSpan w:val="2"/>
            <w:vMerge w:val="restart"/>
          </w:tcPr>
          <w:p>
            <w:pPr>
              <w:ind w:left="120"/>
              <w:spacing w:after="0"/>
              <w:rPr>
                <w:sz w:val="20"/>
                <w:szCs w:val="20"/>
                <w:color w:val="auto"/>
              </w:rPr>
            </w:pPr>
            <w:r>
              <w:rPr>
                <w:rFonts w:ascii="Arial" w:cs="Arial" w:eastAsia="Arial" w:hAnsi="Arial"/>
                <w:sz w:val="9"/>
                <w:szCs w:val="9"/>
                <w:b w:val="1"/>
                <w:bCs w:val="1"/>
                <w:color w:val="auto"/>
              </w:rPr>
              <w:t>Combined</w:t>
            </w:r>
          </w:p>
        </w:tc>
        <w:tc>
          <w:tcPr>
            <w:tcW w:w="700" w:type="dxa"/>
            <w:vAlign w:val="bottom"/>
            <w:vMerge w:val="restart"/>
          </w:tcPr>
          <w:p>
            <w:pPr>
              <w:ind w:left="60"/>
              <w:spacing w:after="0"/>
              <w:rPr>
                <w:sz w:val="20"/>
                <w:szCs w:val="20"/>
                <w:color w:val="auto"/>
              </w:rPr>
            </w:pPr>
            <w:r>
              <w:rPr>
                <w:rFonts w:ascii="Arial" w:cs="Arial" w:eastAsia="Arial" w:hAnsi="Arial"/>
                <w:sz w:val="9"/>
                <w:szCs w:val="9"/>
                <w:b w:val="1"/>
                <w:bCs w:val="1"/>
                <w:color w:val="auto"/>
              </w:rPr>
              <w:t>Automotive</w:t>
            </w:r>
          </w:p>
        </w:tc>
        <w:tc>
          <w:tcPr>
            <w:tcW w:w="540" w:type="dxa"/>
            <w:vAlign w:val="bottom"/>
          </w:tcPr>
          <w:p>
            <w:pPr>
              <w:jc w:val="center"/>
              <w:spacing w:after="0"/>
              <w:rPr>
                <w:sz w:val="20"/>
                <w:szCs w:val="20"/>
                <w:color w:val="auto"/>
              </w:rPr>
            </w:pPr>
            <w:r>
              <w:rPr>
                <w:rFonts w:ascii="Arial" w:cs="Arial" w:eastAsia="Arial" w:hAnsi="Arial"/>
                <w:sz w:val="9"/>
                <w:szCs w:val="9"/>
                <w:b w:val="1"/>
                <w:bCs w:val="1"/>
                <w:color w:val="auto"/>
              </w:rPr>
              <w:t>GM</w:t>
            </w:r>
          </w:p>
        </w:tc>
        <w:tc>
          <w:tcPr>
            <w:tcW w:w="780" w:type="dxa"/>
            <w:vAlign w:val="bottom"/>
            <w:vMerge w:val="restart"/>
          </w:tcPr>
          <w:p>
            <w:pPr>
              <w:ind w:left="120"/>
              <w:spacing w:after="0"/>
              <w:rPr>
                <w:sz w:val="20"/>
                <w:szCs w:val="20"/>
                <w:color w:val="auto"/>
              </w:rPr>
            </w:pPr>
            <w:r>
              <w:rPr>
                <w:rFonts w:ascii="Arial" w:cs="Arial" w:eastAsia="Arial" w:hAnsi="Arial"/>
                <w:sz w:val="9"/>
                <w:szCs w:val="9"/>
                <w:b w:val="1"/>
                <w:bCs w:val="1"/>
                <w:color w:val="auto"/>
              </w:rPr>
              <w:t>GM Financial</w:t>
            </w:r>
          </w:p>
        </w:tc>
        <w:tc>
          <w:tcPr>
            <w:tcW w:w="1460" w:type="dxa"/>
            <w:vAlign w:val="bottom"/>
            <w:vMerge w:val="restart"/>
          </w:tcPr>
          <w:p>
            <w:pPr>
              <w:ind w:left="80"/>
              <w:spacing w:after="0"/>
              <w:rPr>
                <w:sz w:val="20"/>
                <w:szCs w:val="20"/>
                <w:color w:val="auto"/>
              </w:rPr>
            </w:pPr>
            <w:r>
              <w:rPr>
                <w:rFonts w:ascii="Arial" w:cs="Arial" w:eastAsia="Arial" w:hAnsi="Arial"/>
                <w:sz w:val="9"/>
                <w:szCs w:val="9"/>
                <w:b w:val="1"/>
                <w:bCs w:val="1"/>
                <w:color w:val="auto"/>
              </w:rPr>
              <w:t>Reclassification/Eliminations</w:t>
            </w:r>
          </w:p>
        </w:tc>
        <w:tc>
          <w:tcPr>
            <w:tcW w:w="660" w:type="dxa"/>
            <w:vAlign w:val="bottom"/>
            <w:vMerge w:val="restart"/>
          </w:tcPr>
          <w:p>
            <w:pPr>
              <w:ind w:left="100"/>
              <w:spacing w:after="0"/>
              <w:rPr>
                <w:sz w:val="20"/>
                <w:szCs w:val="20"/>
                <w:color w:val="auto"/>
              </w:rPr>
            </w:pPr>
            <w:r>
              <w:rPr>
                <w:rFonts w:ascii="Arial" w:cs="Arial" w:eastAsia="Arial" w:hAnsi="Arial"/>
                <w:sz w:val="9"/>
                <w:szCs w:val="9"/>
                <w:b w:val="1"/>
                <w:bCs w:val="1"/>
                <w:color w:val="auto"/>
              </w:rPr>
              <w:t>Combined</w:t>
            </w:r>
          </w:p>
        </w:tc>
        <w:tc>
          <w:tcPr>
            <w:tcW w:w="0" w:type="dxa"/>
            <w:vAlign w:val="bottom"/>
          </w:tcPr>
          <w:p>
            <w:pPr>
              <w:spacing w:after="0"/>
              <w:rPr>
                <w:sz w:val="1"/>
                <w:szCs w:val="1"/>
                <w:color w:val="auto"/>
              </w:rPr>
            </w:pPr>
          </w:p>
        </w:tc>
      </w:tr>
      <w:tr>
        <w:trPr>
          <w:trHeight w:val="125"/>
        </w:trPr>
        <w:tc>
          <w:tcPr>
            <w:tcW w:w="6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9"/>
                <w:szCs w:val="9"/>
                <w:b w:val="1"/>
                <w:bCs w:val="1"/>
                <w:color w:val="auto"/>
                <w:w w:val="99"/>
              </w:rPr>
              <w:t>Cruise</w:t>
            </w:r>
          </w:p>
        </w:tc>
        <w:tc>
          <w:tcPr>
            <w:tcW w:w="78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5715</wp:posOffset>
            </wp:positionV>
            <wp:extent cx="53854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85435"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83185</wp:posOffset>
            </wp:positionV>
            <wp:extent cx="723773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ectPr>
          <w:pgSz w:w="11900" w:h="16838" w:orient="portrait"/>
          <w:cols w:equalWidth="0" w:num="1">
            <w:col w:w="11420"/>
          </w:cols>
          <w:pgMar w:left="240" w:top="335" w:right="239" w:bottom="0" w:gutter="0" w:footer="0" w:header="0"/>
        </w:sectPr>
      </w:pPr>
    </w:p>
    <w:p>
      <w:pPr>
        <w:spacing w:after="0" w:line="136" w:lineRule="exact"/>
        <w:rPr>
          <w:sz w:val="20"/>
          <w:szCs w:val="20"/>
          <w:color w:val="auto"/>
        </w:rPr>
      </w:pPr>
    </w:p>
    <w:p>
      <w:pPr>
        <w:ind w:left="180"/>
        <w:spacing w:after="0"/>
        <w:rPr>
          <w:sz w:val="20"/>
          <w:szCs w:val="20"/>
          <w:color w:val="auto"/>
        </w:rPr>
      </w:pPr>
      <w:r>
        <w:rPr>
          <w:rFonts w:ascii="Arial" w:cs="Arial" w:eastAsia="Arial" w:hAnsi="Arial"/>
          <w:sz w:val="13"/>
          <w:szCs w:val="13"/>
          <w:color w:val="auto"/>
        </w:rPr>
        <w:t>Income (loss) from continuing operations</w:t>
      </w:r>
    </w:p>
    <w:p>
      <w:pPr>
        <w:spacing w:after="0" w:line="121" w:lineRule="exact"/>
        <w:rPr>
          <w:sz w:val="20"/>
          <w:szCs w:val="20"/>
          <w:color w:val="auto"/>
        </w:rPr>
      </w:pPr>
    </w:p>
    <w:p>
      <w:pPr>
        <w:ind w:left="340" w:hanging="161"/>
        <w:spacing w:after="0" w:line="249" w:lineRule="auto"/>
        <w:rPr>
          <w:sz w:val="20"/>
          <w:szCs w:val="20"/>
          <w:color w:val="auto"/>
        </w:rPr>
      </w:pPr>
      <w:r>
        <w:rPr>
          <w:rFonts w:ascii="Arial" w:cs="Arial" w:eastAsia="Arial" w:hAnsi="Arial"/>
          <w:sz w:val="13"/>
          <w:szCs w:val="13"/>
          <w:color w:val="auto"/>
        </w:rPr>
        <w:t>Depreciation and impairment of Equipment on operating leases, net</w:t>
      </w:r>
    </w:p>
    <w:p>
      <w:pPr>
        <w:spacing w:after="0" w:line="14" w:lineRule="exact"/>
        <w:rPr>
          <w:sz w:val="20"/>
          <w:szCs w:val="20"/>
          <w:color w:val="auto"/>
        </w:rPr>
      </w:pPr>
    </w:p>
    <w:p>
      <w:pPr>
        <w:ind w:left="340" w:right="200" w:hanging="161"/>
        <w:spacing w:after="0" w:line="249" w:lineRule="auto"/>
        <w:rPr>
          <w:sz w:val="20"/>
          <w:szCs w:val="20"/>
          <w:color w:val="auto"/>
        </w:rPr>
      </w:pPr>
      <w:r>
        <w:rPr>
          <w:rFonts w:ascii="Arial" w:cs="Arial" w:eastAsia="Arial" w:hAnsi="Arial"/>
          <w:sz w:val="13"/>
          <w:szCs w:val="13"/>
          <w:color w:val="auto"/>
        </w:rPr>
        <w:t>Depreciation, amortization and impairment charges on Property, net</w:t>
      </w:r>
    </w:p>
    <w:p>
      <w:pPr>
        <w:spacing w:after="0" w:line="14" w:lineRule="exact"/>
        <w:rPr>
          <w:sz w:val="20"/>
          <w:szCs w:val="20"/>
          <w:color w:val="auto"/>
        </w:rPr>
      </w:pPr>
    </w:p>
    <w:p>
      <w:pPr>
        <w:ind w:left="340" w:right="460" w:hanging="161"/>
        <w:spacing w:after="0" w:line="249" w:lineRule="auto"/>
        <w:rPr>
          <w:sz w:val="20"/>
          <w:szCs w:val="20"/>
          <w:color w:val="auto"/>
        </w:rPr>
      </w:pPr>
      <w:r>
        <w:rPr>
          <w:rFonts w:ascii="Arial" w:cs="Arial" w:eastAsia="Arial" w:hAnsi="Arial"/>
          <w:sz w:val="13"/>
          <w:szCs w:val="13"/>
          <w:color w:val="auto"/>
        </w:rPr>
        <w:t>Foreign currency remeasurement and transaction losses</w:t>
      </w:r>
    </w:p>
    <w:p>
      <w:pPr>
        <w:spacing w:after="0" w:line="14" w:lineRule="exact"/>
        <w:rPr>
          <w:sz w:val="20"/>
          <w:szCs w:val="20"/>
          <w:color w:val="auto"/>
        </w:rPr>
      </w:pPr>
    </w:p>
    <w:p>
      <w:pPr>
        <w:ind w:left="340" w:right="200" w:hanging="161"/>
        <w:spacing w:after="0" w:line="249" w:lineRule="auto"/>
        <w:rPr>
          <w:sz w:val="20"/>
          <w:szCs w:val="20"/>
          <w:color w:val="auto"/>
        </w:rPr>
      </w:pPr>
      <w:r>
        <w:rPr>
          <w:rFonts w:ascii="Arial" w:cs="Arial" w:eastAsia="Arial" w:hAnsi="Arial"/>
          <w:sz w:val="13"/>
          <w:szCs w:val="13"/>
          <w:color w:val="auto"/>
        </w:rPr>
        <w:t>Undistributed earnings of nonconsolidated affiliates, net</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Pension contributions and OPEB payments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Pension and OPEB income, net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Provision (benefit) for deferred taxes</w:t>
      </w:r>
    </w:p>
    <w:p>
      <w:pPr>
        <w:spacing w:after="0" w:line="121" w:lineRule="exact"/>
        <w:rPr>
          <w:sz w:val="20"/>
          <w:szCs w:val="20"/>
          <w:color w:val="auto"/>
        </w:rPr>
      </w:pPr>
    </w:p>
    <w:p>
      <w:pPr>
        <w:ind w:left="340" w:right="460" w:hanging="161"/>
        <w:spacing w:after="0" w:line="249" w:lineRule="auto"/>
        <w:rPr>
          <w:sz w:val="20"/>
          <w:szCs w:val="20"/>
          <w:color w:val="auto"/>
        </w:rPr>
      </w:pPr>
      <w:r>
        <w:rPr>
          <w:rFonts w:ascii="Arial" w:cs="Arial" w:eastAsia="Arial" w:hAnsi="Arial"/>
          <w:sz w:val="13"/>
          <w:szCs w:val="13"/>
          <w:color w:val="auto"/>
        </w:rPr>
        <w:t>Change in other operating assets and liabilities(a)(b)</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operating activities(e)</w:t>
      </w:r>
    </w:p>
    <w:p>
      <w:pPr>
        <w:spacing w:after="0" w:line="121" w:lineRule="exact"/>
        <w:rPr>
          <w:sz w:val="20"/>
          <w:szCs w:val="20"/>
          <w:color w:val="auto"/>
        </w:rPr>
      </w:pPr>
    </w:p>
    <w:p>
      <w:pPr>
        <w:ind w:left="340" w:right="300" w:hanging="161"/>
        <w:spacing w:after="0" w:line="281" w:lineRule="auto"/>
        <w:rPr>
          <w:sz w:val="20"/>
          <w:szCs w:val="20"/>
          <w:color w:val="auto"/>
        </w:rPr>
      </w:pPr>
      <w:r>
        <w:rPr>
          <w:rFonts w:ascii="Arial" w:cs="Arial" w:eastAsia="Arial" w:hAnsi="Arial"/>
          <w:sz w:val="12"/>
          <w:szCs w:val="12"/>
          <w:color w:val="auto"/>
        </w:rPr>
        <w:t>Net cash provided by (used in) operating activities – continuing operations</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3"/>
          <w:szCs w:val="13"/>
          <w:color w:val="auto"/>
        </w:rPr>
        <w:t>Net cash provided by (used in) operating</w:t>
      </w:r>
    </w:p>
    <w:p>
      <w:pPr>
        <w:spacing w:after="0" w:line="2"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activities – discontinued operations</w:t>
      </w:r>
    </w:p>
    <w:p>
      <w:pPr>
        <w:spacing w:after="0" w:line="22" w:lineRule="exact"/>
        <w:rPr>
          <w:sz w:val="20"/>
          <w:szCs w:val="20"/>
          <w:color w:val="auto"/>
        </w:rPr>
      </w:pPr>
    </w:p>
    <w:p>
      <w:pPr>
        <w:ind w:left="200" w:right="260" w:hanging="161"/>
        <w:spacing w:after="0" w:line="260" w:lineRule="auto"/>
        <w:rPr>
          <w:sz w:val="20"/>
          <w:szCs w:val="20"/>
          <w:color w:val="auto"/>
        </w:rPr>
      </w:pPr>
      <w:r>
        <w:rPr>
          <w:rFonts w:ascii="Arial" w:cs="Arial" w:eastAsia="Arial" w:hAnsi="Arial"/>
          <w:sz w:val="13"/>
          <w:szCs w:val="13"/>
          <w:b w:val="1"/>
          <w:bCs w:val="1"/>
          <w:color w:val="auto"/>
        </w:rPr>
        <w:t>Net cash provided by (used in) operating activities</w:t>
      </w:r>
    </w:p>
    <w:p>
      <w:pPr>
        <w:ind w:left="40"/>
        <w:spacing w:after="0"/>
        <w:rPr>
          <w:sz w:val="20"/>
          <w:szCs w:val="20"/>
          <w:color w:val="auto"/>
        </w:rPr>
      </w:pPr>
      <w:r>
        <w:rPr>
          <w:rFonts w:ascii="Arial" w:cs="Arial" w:eastAsia="Arial" w:hAnsi="Arial"/>
          <w:sz w:val="13"/>
          <w:szCs w:val="13"/>
          <w:b w:val="1"/>
          <w:bCs w:val="1"/>
          <w:color w:val="auto"/>
        </w:rPr>
        <w:t>Cash flows from investing activities</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640" w:type="dxa"/>
            <w:vAlign w:val="bottom"/>
          </w:tcPr>
          <w:p>
            <w:pPr>
              <w:jc w:val="right"/>
              <w:ind w:right="37"/>
              <w:spacing w:after="0"/>
              <w:rPr>
                <w:sz w:val="20"/>
                <w:szCs w:val="20"/>
                <w:color w:val="auto"/>
              </w:rPr>
            </w:pPr>
            <w:r>
              <w:rPr>
                <w:rFonts w:ascii="Arial" w:cs="Arial" w:eastAsia="Arial" w:hAnsi="Arial"/>
                <w:sz w:val="13"/>
                <w:szCs w:val="13"/>
                <w:color w:val="auto"/>
              </w:rPr>
              <w:t>$  7,075</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  (583)</w:t>
            </w:r>
          </w:p>
        </w:tc>
        <w:tc>
          <w:tcPr>
            <w:tcW w:w="120" w:type="dxa"/>
            <w:vAlign w:val="bottom"/>
          </w:tcPr>
          <w:p>
            <w:pPr>
              <w:spacing w:after="0"/>
              <w:rPr>
                <w:sz w:val="14"/>
                <w:szCs w:val="1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  1,579</w:t>
            </w:r>
          </w:p>
        </w:tc>
        <w:tc>
          <w:tcPr>
            <w:tcW w:w="120" w:type="dxa"/>
            <w:vAlign w:val="bottom"/>
          </w:tcPr>
          <w:p>
            <w:pPr>
              <w:spacing w:after="0"/>
              <w:rPr>
                <w:sz w:val="14"/>
                <w:szCs w:val="14"/>
                <w:color w:val="auto"/>
              </w:rPr>
            </w:pPr>
          </w:p>
        </w:tc>
        <w:tc>
          <w:tcPr>
            <w:tcW w:w="420" w:type="dxa"/>
            <w:vAlign w:val="bottom"/>
          </w:tcPr>
          <w:p>
            <w:pPr>
              <w:jc w:val="right"/>
              <w:ind w:right="27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  8,075</w:t>
            </w:r>
          </w:p>
        </w:tc>
        <w:tc>
          <w:tcPr>
            <w:tcW w:w="12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   (246)</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2"/>
              </w:rPr>
              <w:t>$ (587)</w:t>
            </w:r>
          </w:p>
        </w:tc>
        <w:tc>
          <w:tcPr>
            <w:tcW w:w="120" w:type="dxa"/>
            <w:vAlign w:val="bottom"/>
          </w:tcPr>
          <w:p>
            <w:pPr>
              <w:spacing w:after="0"/>
              <w:rPr>
                <w:sz w:val="14"/>
                <w:szCs w:val="14"/>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  1,163</w:t>
            </w:r>
          </w:p>
        </w:tc>
        <w:tc>
          <w:tcPr>
            <w:tcW w:w="100" w:type="dxa"/>
            <w:vAlign w:val="bottom"/>
          </w:tcPr>
          <w:p>
            <w:pPr>
              <w:spacing w:after="0"/>
              <w:rPr>
                <w:sz w:val="14"/>
                <w:szCs w:val="14"/>
                <w:color w:val="auto"/>
              </w:rPr>
            </w:pPr>
          </w:p>
        </w:tc>
        <w:tc>
          <w:tcPr>
            <w:tcW w:w="4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330</w:t>
            </w:r>
          </w:p>
        </w:tc>
      </w:tr>
      <w:tr>
        <w:trPr>
          <w:trHeight w:val="324"/>
        </w:trPr>
        <w:tc>
          <w:tcPr>
            <w:tcW w:w="640" w:type="dxa"/>
            <w:vAlign w:val="bottom"/>
          </w:tcPr>
          <w:p>
            <w:pPr>
              <w:jc w:val="right"/>
              <w:ind w:right="37"/>
              <w:spacing w:after="0"/>
              <w:rPr>
                <w:sz w:val="20"/>
                <w:szCs w:val="20"/>
                <w:color w:val="auto"/>
              </w:rPr>
            </w:pPr>
            <w:r>
              <w:rPr>
                <w:rFonts w:ascii="Arial" w:cs="Arial" w:eastAsia="Arial" w:hAnsi="Arial"/>
                <w:sz w:val="13"/>
                <w:szCs w:val="13"/>
                <w:color w:val="auto"/>
              </w:rPr>
              <w:t>140</w:t>
            </w:r>
          </w:p>
        </w:tc>
        <w:tc>
          <w:tcPr>
            <w:tcW w:w="12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7,464</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7,604</w:t>
            </w:r>
          </w:p>
        </w:tc>
        <w:tc>
          <w:tcPr>
            <w:tcW w:w="120" w:type="dxa"/>
            <w:vAlign w:val="bottom"/>
          </w:tcPr>
          <w:p>
            <w:pPr>
              <w:spacing w:after="0"/>
              <w:rPr>
                <w:sz w:val="24"/>
                <w:szCs w:val="24"/>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282</w:t>
            </w:r>
          </w:p>
        </w:tc>
        <w:tc>
          <w:tcPr>
            <w:tcW w:w="120" w:type="dxa"/>
            <w:vAlign w:val="bottom"/>
          </w:tcPr>
          <w:p>
            <w:pPr>
              <w:spacing w:after="0"/>
              <w:rPr>
                <w:sz w:val="24"/>
                <w:szCs w:val="2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6,523</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6,805</w:t>
            </w:r>
          </w:p>
        </w:tc>
      </w:tr>
      <w:tr>
        <w:trPr>
          <w:trHeight w:val="324"/>
        </w:trPr>
        <w:tc>
          <w:tcPr>
            <w:tcW w:w="640" w:type="dxa"/>
            <w:vAlign w:val="bottom"/>
          </w:tcPr>
          <w:p>
            <w:pPr>
              <w:jc w:val="right"/>
              <w:ind w:right="37"/>
              <w:spacing w:after="0"/>
              <w:rPr>
                <w:sz w:val="20"/>
                <w:szCs w:val="20"/>
                <w:color w:val="auto"/>
              </w:rPr>
            </w:pPr>
            <w:r>
              <w:rPr>
                <w:rFonts w:ascii="Arial" w:cs="Arial" w:eastAsia="Arial" w:hAnsi="Arial"/>
                <w:sz w:val="13"/>
                <w:szCs w:val="13"/>
                <w:color w:val="auto"/>
              </w:rPr>
              <w:t>5,991</w:t>
            </w:r>
          </w:p>
        </w:tc>
        <w:tc>
          <w:tcPr>
            <w:tcW w:w="120" w:type="dxa"/>
            <w:vAlign w:val="bottom"/>
          </w:tcPr>
          <w:p>
            <w:pPr>
              <w:spacing w:after="0"/>
              <w:rPr>
                <w:sz w:val="24"/>
                <w:szCs w:val="2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67</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6,065</w:t>
            </w:r>
          </w:p>
        </w:tc>
        <w:tc>
          <w:tcPr>
            <w:tcW w:w="120" w:type="dxa"/>
            <w:vAlign w:val="bottom"/>
          </w:tcPr>
          <w:p>
            <w:pPr>
              <w:spacing w:after="0"/>
              <w:rPr>
                <w:sz w:val="24"/>
                <w:szCs w:val="24"/>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5,405</w:t>
            </w:r>
          </w:p>
        </w:tc>
        <w:tc>
          <w:tcPr>
            <w:tcW w:w="120" w:type="dxa"/>
            <w:vAlign w:val="bottom"/>
          </w:tcPr>
          <w:p>
            <w:pPr>
              <w:spacing w:after="0"/>
              <w:rPr>
                <w:sz w:val="24"/>
                <w:szCs w:val="24"/>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5,456</w:t>
            </w:r>
          </w:p>
        </w:tc>
      </w:tr>
      <w:tr>
        <w:trPr>
          <w:trHeight w:val="324"/>
        </w:trPr>
        <w:tc>
          <w:tcPr>
            <w:tcW w:w="640" w:type="dxa"/>
            <w:vAlign w:val="bottom"/>
          </w:tcPr>
          <w:p>
            <w:pPr>
              <w:jc w:val="right"/>
              <w:ind w:right="37"/>
              <w:spacing w:after="0"/>
              <w:rPr>
                <w:sz w:val="20"/>
                <w:szCs w:val="20"/>
                <w:color w:val="auto"/>
              </w:rPr>
            </w:pPr>
            <w:r>
              <w:rPr>
                <w:rFonts w:ascii="Arial" w:cs="Arial" w:eastAsia="Arial" w:hAnsi="Arial"/>
                <w:sz w:val="13"/>
                <w:szCs w:val="13"/>
                <w:color w:val="auto"/>
              </w:rPr>
              <w:t>156</w:t>
            </w:r>
          </w:p>
        </w:tc>
        <w:tc>
          <w:tcPr>
            <w:tcW w:w="12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168</w:t>
            </w:r>
          </w:p>
        </w:tc>
        <w:tc>
          <w:tcPr>
            <w:tcW w:w="120" w:type="dxa"/>
            <w:vAlign w:val="bottom"/>
          </w:tcPr>
          <w:p>
            <w:pPr>
              <w:spacing w:after="0"/>
              <w:rPr>
                <w:sz w:val="24"/>
                <w:szCs w:val="24"/>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43</w:t>
            </w:r>
          </w:p>
        </w:tc>
        <w:tc>
          <w:tcPr>
            <w:tcW w:w="120" w:type="dxa"/>
            <w:vAlign w:val="bottom"/>
          </w:tcPr>
          <w:p>
            <w:pPr>
              <w:spacing w:after="0"/>
              <w:rPr>
                <w:sz w:val="24"/>
                <w:szCs w:val="2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52</w:t>
            </w:r>
          </w:p>
        </w:tc>
      </w:tr>
      <w:tr>
        <w:trPr>
          <w:trHeight w:val="324"/>
        </w:trPr>
        <w:tc>
          <w:tcPr>
            <w:tcW w:w="640" w:type="dxa"/>
            <w:vAlign w:val="bottom"/>
          </w:tcPr>
          <w:p>
            <w:pPr>
              <w:jc w:val="right"/>
              <w:ind w:right="37"/>
              <w:spacing w:after="0"/>
              <w:rPr>
                <w:sz w:val="20"/>
                <w:szCs w:val="20"/>
                <w:color w:val="auto"/>
              </w:rPr>
            </w:pPr>
            <w:r>
              <w:rPr>
                <w:rFonts w:ascii="Arial" w:cs="Arial" w:eastAsia="Arial" w:hAnsi="Arial"/>
                <w:sz w:val="13"/>
                <w:szCs w:val="13"/>
                <w:color w:val="auto"/>
              </w:rPr>
              <w:t>42</w:t>
            </w:r>
          </w:p>
        </w:tc>
        <w:tc>
          <w:tcPr>
            <w:tcW w:w="12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(183)</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(141)</w:t>
            </w:r>
          </w:p>
        </w:tc>
        <w:tc>
          <w:tcPr>
            <w:tcW w:w="120" w:type="dxa"/>
            <w:vAlign w:val="bottom"/>
          </w:tcPr>
          <w:p>
            <w:pPr>
              <w:spacing w:after="0"/>
              <w:rPr>
                <w:sz w:val="24"/>
                <w:szCs w:val="24"/>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41</w:t>
            </w:r>
          </w:p>
        </w:tc>
        <w:tc>
          <w:tcPr>
            <w:tcW w:w="120" w:type="dxa"/>
            <w:vAlign w:val="bottom"/>
          </w:tcPr>
          <w:p>
            <w:pPr>
              <w:spacing w:after="0"/>
              <w:rPr>
                <w:sz w:val="24"/>
                <w:szCs w:val="2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(173)</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(132)</w:t>
            </w:r>
          </w:p>
        </w:tc>
      </w:tr>
      <w:tr>
        <w:trPr>
          <w:trHeight w:val="270"/>
        </w:trPr>
        <w:tc>
          <w:tcPr>
            <w:tcW w:w="640" w:type="dxa"/>
            <w:vAlign w:val="bottom"/>
          </w:tcPr>
          <w:p>
            <w:pPr>
              <w:jc w:val="right"/>
              <w:spacing w:after="0"/>
              <w:rPr>
                <w:sz w:val="20"/>
                <w:szCs w:val="20"/>
                <w:color w:val="auto"/>
              </w:rPr>
            </w:pPr>
            <w:r>
              <w:rPr>
                <w:rFonts w:ascii="Arial" w:cs="Arial" w:eastAsia="Arial" w:hAnsi="Arial"/>
                <w:sz w:val="13"/>
                <w:szCs w:val="13"/>
                <w:color w:val="auto"/>
              </w:rPr>
              <w:t>(2,069)</w:t>
            </w:r>
          </w:p>
        </w:tc>
        <w:tc>
          <w:tcPr>
            <w:tcW w:w="1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3"/>
                <w:szCs w:val="2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(2,069)</w:t>
            </w:r>
          </w:p>
        </w:tc>
        <w:tc>
          <w:tcPr>
            <w:tcW w:w="120" w:type="dxa"/>
            <w:vAlign w:val="bottom"/>
          </w:tcPr>
          <w:p>
            <w:pPr>
              <w:spacing w:after="0"/>
              <w:rPr>
                <w:sz w:val="23"/>
                <w:szCs w:val="23"/>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(1,636)</w:t>
            </w:r>
          </w:p>
        </w:tc>
        <w:tc>
          <w:tcPr>
            <w:tcW w:w="120" w:type="dxa"/>
            <w:vAlign w:val="bottom"/>
          </w:tcPr>
          <w:p>
            <w:pPr>
              <w:spacing w:after="0"/>
              <w:rPr>
                <w:sz w:val="23"/>
                <w:szCs w:val="23"/>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3"/>
                <w:szCs w:val="2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(1,636)</w:t>
            </w:r>
          </w:p>
        </w:tc>
      </w:tr>
      <w:tr>
        <w:trPr>
          <w:trHeight w:val="270"/>
        </w:trPr>
        <w:tc>
          <w:tcPr>
            <w:tcW w:w="640" w:type="dxa"/>
            <w:vAlign w:val="bottom"/>
          </w:tcPr>
          <w:p>
            <w:pPr>
              <w:jc w:val="right"/>
              <w:spacing w:after="0"/>
              <w:rPr>
                <w:sz w:val="20"/>
                <w:szCs w:val="20"/>
                <w:color w:val="auto"/>
              </w:rPr>
            </w:pPr>
            <w:r>
              <w:rPr>
                <w:rFonts w:ascii="Arial" w:cs="Arial" w:eastAsia="Arial" w:hAnsi="Arial"/>
                <w:sz w:val="13"/>
                <w:szCs w:val="13"/>
                <w:color w:val="auto"/>
              </w:rPr>
              <w:t>(1,281)</w:t>
            </w:r>
          </w:p>
        </w:tc>
        <w:tc>
          <w:tcPr>
            <w:tcW w:w="1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(1,280)</w:t>
            </w:r>
          </w:p>
        </w:tc>
        <w:tc>
          <w:tcPr>
            <w:tcW w:w="120" w:type="dxa"/>
            <w:vAlign w:val="bottom"/>
          </w:tcPr>
          <w:p>
            <w:pPr>
              <w:spacing w:after="0"/>
              <w:rPr>
                <w:sz w:val="23"/>
                <w:szCs w:val="23"/>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(935)</w:t>
            </w:r>
          </w:p>
        </w:tc>
        <w:tc>
          <w:tcPr>
            <w:tcW w:w="120" w:type="dxa"/>
            <w:vAlign w:val="bottom"/>
          </w:tcPr>
          <w:p>
            <w:pPr>
              <w:spacing w:after="0"/>
              <w:rPr>
                <w:sz w:val="23"/>
                <w:szCs w:val="23"/>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(934)</w:t>
            </w:r>
          </w:p>
        </w:tc>
      </w:tr>
      <w:tr>
        <w:trPr>
          <w:trHeight w:val="270"/>
        </w:trPr>
        <w:tc>
          <w:tcPr>
            <w:tcW w:w="640" w:type="dxa"/>
            <w:vAlign w:val="bottom"/>
          </w:tcPr>
          <w:p>
            <w:pPr>
              <w:jc w:val="right"/>
              <w:spacing w:after="0"/>
              <w:rPr>
                <w:sz w:val="20"/>
                <w:szCs w:val="20"/>
                <w:color w:val="auto"/>
              </w:rPr>
            </w:pPr>
            <w:r>
              <w:rPr>
                <w:rFonts w:ascii="Arial" w:cs="Arial" w:eastAsia="Arial" w:hAnsi="Arial"/>
                <w:sz w:val="13"/>
                <w:szCs w:val="13"/>
                <w:color w:val="auto"/>
              </w:rPr>
              <w:t>(212)</w:t>
            </w: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(134)</w:t>
            </w:r>
          </w:p>
        </w:tc>
        <w:tc>
          <w:tcPr>
            <w:tcW w:w="12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234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(112)</w:t>
            </w:r>
          </w:p>
        </w:tc>
        <w:tc>
          <w:tcPr>
            <w:tcW w:w="120" w:type="dxa"/>
            <w:vAlign w:val="bottom"/>
          </w:tcPr>
          <w:p>
            <w:pPr>
              <w:spacing w:after="0"/>
              <w:rPr>
                <w:sz w:val="23"/>
                <w:szCs w:val="23"/>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10,928</w:t>
            </w:r>
          </w:p>
        </w:tc>
        <w:tc>
          <w:tcPr>
            <w:tcW w:w="12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23"/>
                <w:szCs w:val="23"/>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color w:val="auto"/>
                <w:w w:val="95"/>
              </w:rPr>
              <w:t>10,880</w:t>
            </w:r>
          </w:p>
        </w:tc>
      </w:tr>
      <w:tr>
        <w:trPr>
          <w:trHeight w:val="324"/>
        </w:trPr>
        <w:tc>
          <w:tcPr>
            <w:tcW w:w="640" w:type="dxa"/>
            <w:vAlign w:val="bottom"/>
          </w:tcPr>
          <w:p>
            <w:pPr>
              <w:jc w:val="right"/>
              <w:ind w:right="37"/>
              <w:spacing w:after="0"/>
              <w:rPr>
                <w:sz w:val="20"/>
                <w:szCs w:val="20"/>
                <w:color w:val="auto"/>
              </w:rPr>
            </w:pPr>
            <w:r>
              <w:rPr>
                <w:rFonts w:ascii="Arial" w:cs="Arial" w:eastAsia="Arial" w:hAnsi="Arial"/>
                <w:sz w:val="13"/>
                <w:szCs w:val="13"/>
                <w:color w:val="auto"/>
              </w:rPr>
              <w:t>1,568</w:t>
            </w:r>
          </w:p>
        </w:tc>
        <w:tc>
          <w:tcPr>
            <w:tcW w:w="120" w:type="dxa"/>
            <w:vAlign w:val="bottom"/>
          </w:tcPr>
          <w:p>
            <w:pPr>
              <w:spacing w:after="0"/>
              <w:rPr>
                <w:sz w:val="24"/>
                <w:szCs w:val="2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59</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(139)</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(2,864)</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(1,376)</w:t>
            </w:r>
          </w:p>
        </w:tc>
        <w:tc>
          <w:tcPr>
            <w:tcW w:w="120" w:type="dxa"/>
            <w:vAlign w:val="bottom"/>
          </w:tcPr>
          <w:p>
            <w:pPr>
              <w:spacing w:after="0"/>
              <w:rPr>
                <w:sz w:val="24"/>
                <w:szCs w:val="2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(589)</w:t>
            </w:r>
          </w:p>
        </w:tc>
        <w:tc>
          <w:tcPr>
            <w:tcW w:w="120" w:type="dxa"/>
            <w:vAlign w:val="bottom"/>
          </w:tcPr>
          <w:p>
            <w:pPr>
              <w:spacing w:after="0"/>
              <w:rPr>
                <w:sz w:val="24"/>
                <w:szCs w:val="24"/>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24"/>
                <w:szCs w:val="24"/>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72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(2,516)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(3,015)</w:t>
            </w:r>
          </w:p>
        </w:tc>
      </w:tr>
      <w:tr>
        <w:trPr>
          <w:trHeight w:val="278"/>
        </w:trPr>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327</w:t>
            </w:r>
          </w:p>
        </w:tc>
        <w:tc>
          <w:tcPr>
            <w:tcW w:w="120" w:type="dxa"/>
            <w:vAlign w:val="bottom"/>
          </w:tcPr>
          <w:p>
            <w:pPr>
              <w:spacing w:after="0"/>
              <w:rPr>
                <w:sz w:val="24"/>
                <w:szCs w:val="24"/>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46</w:t>
            </w:r>
          </w:p>
        </w:tc>
        <w:tc>
          <w:tcPr>
            <w:tcW w:w="120" w:type="dxa"/>
            <w:vAlign w:val="bottom"/>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(1,663)</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(388)</w:t>
            </w:r>
          </w:p>
        </w:tc>
        <w:tc>
          <w:tcPr>
            <w:tcW w:w="120" w:type="dxa"/>
            <w:vAlign w:val="bottom"/>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(1,678)</w:t>
            </w:r>
          </w:p>
        </w:tc>
        <w:tc>
          <w:tcPr>
            <w:tcW w:w="120" w:type="dxa"/>
            <w:vAlign w:val="bottom"/>
          </w:tcPr>
          <w:p>
            <w:pPr>
              <w:spacing w:after="0"/>
              <w:rPr>
                <w:sz w:val="24"/>
                <w:szCs w:val="24"/>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1,065</w:t>
            </w:r>
          </w:p>
        </w:tc>
        <w:tc>
          <w:tcPr>
            <w:tcW w:w="120" w:type="dxa"/>
            <w:vAlign w:val="bottom"/>
          </w:tcPr>
          <w:p>
            <w:pPr>
              <w:spacing w:after="0"/>
              <w:rPr>
                <w:sz w:val="24"/>
                <w:szCs w:val="24"/>
                <w:color w:val="auto"/>
              </w:rPr>
            </w:pPr>
          </w:p>
        </w:tc>
        <w:tc>
          <w:tcPr>
            <w:tcW w:w="4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108</w:t>
            </w:r>
          </w:p>
        </w:tc>
        <w:tc>
          <w:tcPr>
            <w:tcW w:w="120" w:type="dxa"/>
            <w:vAlign w:val="bottom"/>
          </w:tcPr>
          <w:p>
            <w:pPr>
              <w:spacing w:after="0"/>
              <w:rPr>
                <w:sz w:val="24"/>
                <w:szCs w:val="24"/>
                <w:color w:val="auto"/>
              </w:rPr>
            </w:pP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(1,089)</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(552)</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(468)</w:t>
            </w:r>
          </w:p>
        </w:tc>
      </w:tr>
      <w:tr>
        <w:trPr>
          <w:trHeight w:val="297"/>
        </w:trPr>
        <w:tc>
          <w:tcPr>
            <w:tcW w:w="640" w:type="dxa"/>
            <w:vAlign w:val="bottom"/>
          </w:tcPr>
          <w:p>
            <w:pPr>
              <w:jc w:val="right"/>
              <w:ind w:right="37"/>
              <w:spacing w:after="0"/>
              <w:rPr>
                <w:sz w:val="20"/>
                <w:szCs w:val="20"/>
                <w:color w:val="auto"/>
              </w:rPr>
            </w:pPr>
            <w:r>
              <w:rPr>
                <w:rFonts w:ascii="Arial" w:cs="Arial" w:eastAsia="Arial" w:hAnsi="Arial"/>
                <w:sz w:val="13"/>
                <w:szCs w:val="13"/>
                <w:color w:val="auto"/>
              </w:rPr>
              <w:t>11,737</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(605)</w:t>
            </w:r>
          </w:p>
        </w:tc>
        <w:tc>
          <w:tcPr>
            <w:tcW w:w="12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7,372</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(3,248)</w:t>
            </w:r>
          </w:p>
        </w:tc>
        <w:tc>
          <w:tcPr>
            <w:tcW w:w="12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15,256</w:t>
            </w:r>
          </w:p>
        </w:tc>
        <w:tc>
          <w:tcPr>
            <w:tcW w:w="120" w:type="dxa"/>
            <w:vAlign w:val="bottom"/>
          </w:tcPr>
          <w:p>
            <w:pPr>
              <w:spacing w:after="0"/>
              <w:rPr>
                <w:sz w:val="24"/>
                <w:szCs w:val="24"/>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14,358</w:t>
            </w: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(486)</w:t>
            </w:r>
          </w:p>
        </w:tc>
        <w:tc>
          <w:tcPr>
            <w:tcW w:w="120" w:type="dxa"/>
            <w:vAlign w:val="bottom"/>
          </w:tcPr>
          <w:p>
            <w:pPr>
              <w:spacing w:after="0"/>
              <w:rPr>
                <w:sz w:val="24"/>
                <w:szCs w:val="24"/>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6,534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(3,068)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color w:val="auto"/>
                <w:w w:val="95"/>
              </w:rPr>
              <w:t>17,338</w:t>
            </w:r>
          </w:p>
        </w:tc>
      </w:tr>
      <w:tr>
        <w:trPr>
          <w:trHeight w:val="332"/>
        </w:trPr>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4"/>
                <w:szCs w:val="2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(36)</w:t>
            </w:r>
          </w:p>
        </w:tc>
        <w:tc>
          <w:tcPr>
            <w:tcW w:w="120" w:type="dxa"/>
            <w:vAlign w:val="bottom"/>
          </w:tcPr>
          <w:p>
            <w:pPr>
              <w:spacing w:after="0"/>
              <w:rPr>
                <w:sz w:val="24"/>
                <w:szCs w:val="2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220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(194)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(10)</w:t>
            </w:r>
          </w:p>
        </w:tc>
      </w:tr>
      <w:tr>
        <w:trPr>
          <w:trHeight w:val="297"/>
        </w:trPr>
        <w:tc>
          <w:tcPr>
            <w:tcW w:w="6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11,737</w:t>
            </w:r>
          </w:p>
        </w:tc>
        <w:tc>
          <w:tcPr>
            <w:tcW w:w="120" w:type="dxa"/>
            <w:vAlign w:val="bottom"/>
          </w:tcPr>
          <w:p>
            <w:pPr>
              <w:spacing w:after="0"/>
              <w:rPr>
                <w:sz w:val="24"/>
                <w:szCs w:val="2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(605)</w:t>
            </w:r>
          </w:p>
        </w:tc>
        <w:tc>
          <w:tcPr>
            <w:tcW w:w="120" w:type="dxa"/>
            <w:vAlign w:val="bottom"/>
          </w:tcPr>
          <w:p>
            <w:pPr>
              <w:spacing w:after="0"/>
              <w:rPr>
                <w:sz w:val="24"/>
                <w:szCs w:val="24"/>
                <w:color w:val="auto"/>
              </w:rPr>
            </w:pPr>
          </w:p>
        </w:tc>
        <w:tc>
          <w:tcPr>
            <w:tcW w:w="6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7,372</w:t>
            </w:r>
          </w:p>
        </w:tc>
        <w:tc>
          <w:tcPr>
            <w:tcW w:w="1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(3,248)</w:t>
            </w:r>
          </w:p>
        </w:tc>
        <w:tc>
          <w:tcPr>
            <w:tcW w:w="120" w:type="dxa"/>
            <w:vAlign w:val="bottom"/>
          </w:tcPr>
          <w:p>
            <w:pPr>
              <w:spacing w:after="0"/>
              <w:rPr>
                <w:sz w:val="24"/>
                <w:szCs w:val="24"/>
                <w:color w:val="auto"/>
              </w:rPr>
            </w:pPr>
          </w:p>
        </w:tc>
        <w:tc>
          <w:tcPr>
            <w:tcW w:w="6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15,256</w:t>
            </w:r>
          </w:p>
        </w:tc>
        <w:tc>
          <w:tcPr>
            <w:tcW w:w="120" w:type="dxa"/>
            <w:vAlign w:val="bottom"/>
          </w:tcPr>
          <w:p>
            <w:pPr>
              <w:spacing w:after="0"/>
              <w:rPr>
                <w:sz w:val="24"/>
                <w:szCs w:val="24"/>
                <w:color w:val="auto"/>
              </w:rPr>
            </w:pPr>
          </w:p>
        </w:tc>
        <w:tc>
          <w:tcPr>
            <w:tcW w:w="6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14,322</w:t>
            </w:r>
          </w:p>
        </w:tc>
        <w:tc>
          <w:tcPr>
            <w:tcW w:w="120" w:type="dxa"/>
            <w:vAlign w:val="bottom"/>
          </w:tcPr>
          <w:p>
            <w:pPr>
              <w:spacing w:after="0"/>
              <w:rPr>
                <w:sz w:val="24"/>
                <w:szCs w:val="2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(486)</w:t>
            </w:r>
          </w:p>
        </w:tc>
        <w:tc>
          <w:tcPr>
            <w:tcW w:w="120" w:type="dxa"/>
            <w:vAlign w:val="bottom"/>
          </w:tcPr>
          <w:p>
            <w:pPr>
              <w:spacing w:after="0"/>
              <w:rPr>
                <w:sz w:val="24"/>
                <w:szCs w:val="24"/>
                <w:color w:val="auto"/>
              </w:rPr>
            </w:pPr>
          </w:p>
        </w:tc>
        <w:tc>
          <w:tcPr>
            <w:tcW w:w="6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6,754</w:t>
            </w: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(3,262)</w:t>
            </w: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w w:val="95"/>
              </w:rPr>
              <w:t>17,328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-1852295</wp:posOffset>
            </wp:positionH>
            <wp:positionV relativeFrom="paragraph">
              <wp:posOffset>-2117090</wp:posOffset>
            </wp:positionV>
            <wp:extent cx="7237730"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37730" cy="205740"/>
                    </a:xfrm>
                    <a:prstGeom prst="rect">
                      <a:avLst/>
                    </a:prstGeom>
                    <a:noFill/>
                  </pic:spPr>
                </pic:pic>
              </a:graphicData>
            </a:graphic>
          </wp:anchor>
        </w:drawing>
        <w:drawing>
          <wp:anchor simplePos="0" relativeHeight="251657728" behindDoc="1" locked="0" layoutInCell="0" allowOverlap="1">
            <wp:simplePos x="0" y="0"/>
            <wp:positionH relativeFrom="column">
              <wp:posOffset>-1852295</wp:posOffset>
            </wp:positionH>
            <wp:positionV relativeFrom="paragraph">
              <wp:posOffset>-1705610</wp:posOffset>
            </wp:positionV>
            <wp:extent cx="7237730" cy="205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37730" cy="205740"/>
                    </a:xfrm>
                    <a:prstGeom prst="rect">
                      <a:avLst/>
                    </a:prstGeom>
                    <a:noFill/>
                  </pic:spPr>
                </pic:pic>
              </a:graphicData>
            </a:graphic>
          </wp:anchor>
        </w:drawing>
        <w:drawing>
          <wp:anchor simplePos="0" relativeHeight="251657728" behindDoc="1" locked="0" layoutInCell="0" allowOverlap="1">
            <wp:simplePos x="0" y="0"/>
            <wp:positionH relativeFrom="column">
              <wp:posOffset>-1852295</wp:posOffset>
            </wp:positionH>
            <wp:positionV relativeFrom="paragraph">
              <wp:posOffset>-1328420</wp:posOffset>
            </wp:positionV>
            <wp:extent cx="723773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-1852295</wp:posOffset>
            </wp:positionH>
            <wp:positionV relativeFrom="paragraph">
              <wp:posOffset>-985520</wp:posOffset>
            </wp:positionV>
            <wp:extent cx="7237730"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7730" cy="205740"/>
                    </a:xfrm>
                    <a:prstGeom prst="rect">
                      <a:avLst/>
                    </a:prstGeom>
                    <a:noFill/>
                  </pic:spPr>
                </pic:pic>
              </a:graphicData>
            </a:graphic>
          </wp:anchor>
        </w:drawing>
        <w:drawing>
          <wp:anchor simplePos="0" relativeHeight="251657728" behindDoc="1" locked="0" layoutInCell="0" allowOverlap="1">
            <wp:simplePos x="0" y="0"/>
            <wp:positionH relativeFrom="column">
              <wp:posOffset>-1852295</wp:posOffset>
            </wp:positionH>
            <wp:positionV relativeFrom="paragraph">
              <wp:posOffset>-607695</wp:posOffset>
            </wp:positionV>
            <wp:extent cx="723773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7730" cy="205740"/>
                    </a:xfrm>
                    <a:prstGeom prst="rect">
                      <a:avLst/>
                    </a:prstGeom>
                    <a:noFill/>
                  </pic:spPr>
                </pic:pic>
              </a:graphicData>
            </a:graphic>
          </wp:anchor>
        </w:drawing>
        <w:drawing>
          <wp:anchor simplePos="0" relativeHeight="251657728" behindDoc="1" locked="0" layoutInCell="0" allowOverlap="1">
            <wp:simplePos x="0" y="0"/>
            <wp:positionH relativeFrom="column">
              <wp:posOffset>-1852295</wp:posOffset>
            </wp:positionH>
            <wp:positionV relativeFrom="paragraph">
              <wp:posOffset>-196215</wp:posOffset>
            </wp:positionV>
            <wp:extent cx="7237730"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7730" cy="205740"/>
                    </a:xfrm>
                    <a:prstGeom prst="rect">
                      <a:avLst/>
                    </a:prstGeom>
                    <a:noFill/>
                  </pic:spPr>
                </pic:pic>
              </a:graphicData>
            </a:graphic>
          </wp:anchor>
        </w:drawing>
        <w:drawing>
          <wp:anchor simplePos="0" relativeHeight="251657728" behindDoc="1" locked="0" layoutInCell="0" allowOverlap="1">
            <wp:simplePos x="0" y="0"/>
            <wp:positionH relativeFrom="column">
              <wp:posOffset>-1852295</wp:posOffset>
            </wp:positionH>
            <wp:positionV relativeFrom="paragraph">
              <wp:posOffset>180340</wp:posOffset>
            </wp:positionV>
            <wp:extent cx="723773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289" w:lineRule="exact"/>
        <w:rPr>
          <w:sz w:val="20"/>
          <w:szCs w:val="20"/>
          <w:color w:val="auto"/>
        </w:rPr>
      </w:pPr>
    </w:p>
    <w:p>
      <w:pPr>
        <w:sectPr>
          <w:pgSz w:w="11900" w:h="16838" w:orient="portrait"/>
          <w:cols w:equalWidth="0" w:num="2">
            <w:col w:w="2740" w:space="200"/>
            <w:col w:w="8480"/>
          </w:cols>
          <w:pgMar w:left="240" w:top="335" w:right="239" w:bottom="0" w:gutter="0" w:footer="0" w:header="0"/>
          <w:type w:val="continuous"/>
        </w:sectPr>
      </w:pPr>
    </w:p>
    <w:p>
      <w:pPr>
        <w:ind w:left="180"/>
        <w:spacing w:after="0"/>
        <w:rPr>
          <w:sz w:val="20"/>
          <w:szCs w:val="20"/>
          <w:color w:val="auto"/>
        </w:rPr>
      </w:pPr>
      <w:r>
        <w:rPr>
          <w:rFonts w:ascii="Arial" w:cs="Arial" w:eastAsia="Arial" w:hAnsi="Arial"/>
          <w:sz w:val="13"/>
          <w:szCs w:val="13"/>
          <w:color w:val="auto"/>
        </w:rPr>
        <w:t>Expenditures for property</w:t>
      </w:r>
    </w:p>
    <w:p>
      <w:pPr>
        <w:spacing w:after="0" w:line="121" w:lineRule="exact"/>
        <w:rPr>
          <w:sz w:val="20"/>
          <w:szCs w:val="20"/>
          <w:color w:val="auto"/>
        </w:rPr>
      </w:pPr>
    </w:p>
    <w:p>
      <w:pPr>
        <w:ind w:left="340" w:right="480" w:hanging="161"/>
        <w:spacing w:after="0" w:line="249" w:lineRule="auto"/>
        <w:rPr>
          <w:sz w:val="20"/>
          <w:szCs w:val="20"/>
          <w:color w:val="auto"/>
        </w:rPr>
      </w:pPr>
      <w:r>
        <w:rPr>
          <w:rFonts w:ascii="Arial" w:cs="Arial" w:eastAsia="Arial" w:hAnsi="Arial"/>
          <w:sz w:val="13"/>
          <w:szCs w:val="13"/>
          <w:color w:val="auto"/>
        </w:rPr>
        <w:t>Available-for-sale marketable securities, acquisitions(c)</w:t>
      </w:r>
    </w:p>
    <w:p>
      <w:pPr>
        <w:spacing w:after="0" w:line="14" w:lineRule="exact"/>
        <w:rPr>
          <w:sz w:val="20"/>
          <w:szCs w:val="20"/>
          <w:color w:val="auto"/>
        </w:rPr>
      </w:pPr>
    </w:p>
    <w:p>
      <w:pPr>
        <w:ind w:left="340" w:right="480" w:hanging="161"/>
        <w:spacing w:after="0" w:line="249" w:lineRule="auto"/>
        <w:rPr>
          <w:sz w:val="20"/>
          <w:szCs w:val="20"/>
          <w:color w:val="auto"/>
        </w:rPr>
      </w:pPr>
      <w:r>
        <w:rPr>
          <w:rFonts w:ascii="Arial" w:cs="Arial" w:eastAsia="Arial" w:hAnsi="Arial"/>
          <w:sz w:val="13"/>
          <w:szCs w:val="13"/>
          <w:color w:val="auto"/>
        </w:rPr>
        <w:t>Available-for-sale marketable securities, liquidations</w:t>
      </w:r>
    </w:p>
    <w:p>
      <w:pPr>
        <w:spacing w:after="0" w:line="14" w:lineRule="exact"/>
        <w:rPr>
          <w:sz w:val="20"/>
          <w:szCs w:val="20"/>
          <w:color w:val="auto"/>
        </w:rPr>
      </w:pPr>
    </w:p>
    <w:p>
      <w:pPr>
        <w:ind w:left="340" w:right="220" w:hanging="161"/>
        <w:spacing w:after="0" w:line="249" w:lineRule="auto"/>
        <w:rPr>
          <w:sz w:val="20"/>
          <w:szCs w:val="20"/>
          <w:color w:val="auto"/>
        </w:rPr>
      </w:pPr>
      <w:r>
        <w:rPr>
          <w:rFonts w:ascii="Arial" w:cs="Arial" w:eastAsia="Arial" w:hAnsi="Arial"/>
          <w:sz w:val="13"/>
          <w:szCs w:val="13"/>
          <w:color w:val="auto"/>
        </w:rPr>
        <w:t>Acquisition of companies/investments, net of cash acquired</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Purchases of finance receivables, net(a)(b)</w:t>
      </w:r>
    </w:p>
    <w:p>
      <w:pPr>
        <w:spacing w:after="0" w:line="121" w:lineRule="exact"/>
        <w:rPr>
          <w:sz w:val="20"/>
          <w:szCs w:val="20"/>
          <w:color w:val="auto"/>
        </w:rPr>
      </w:pPr>
    </w:p>
    <w:p>
      <w:pPr>
        <w:ind w:left="340" w:right="120" w:hanging="161"/>
        <w:spacing w:after="0" w:line="249" w:lineRule="auto"/>
        <w:rPr>
          <w:sz w:val="20"/>
          <w:szCs w:val="20"/>
          <w:color w:val="auto"/>
        </w:rPr>
      </w:pPr>
      <w:r>
        <w:rPr>
          <w:rFonts w:ascii="Arial" w:cs="Arial" w:eastAsia="Arial" w:hAnsi="Arial"/>
          <w:sz w:val="13"/>
          <w:szCs w:val="13"/>
          <w:color w:val="auto"/>
        </w:rPr>
        <w:t>Principal collections and recoveries on finance receivables(b)</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Purchases of leased vehicles, net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Proceeds from termination of leased vehicles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investing activities(d)</w:t>
      </w:r>
    </w:p>
    <w:p>
      <w:pPr>
        <w:spacing w:after="0" w:line="121" w:lineRule="exact"/>
        <w:rPr>
          <w:sz w:val="20"/>
          <w:szCs w:val="20"/>
          <w:color w:val="auto"/>
        </w:rPr>
      </w:pPr>
    </w:p>
    <w:p>
      <w:pPr>
        <w:ind w:left="340" w:hanging="161"/>
        <w:spacing w:after="0" w:line="249" w:lineRule="auto"/>
        <w:rPr>
          <w:sz w:val="20"/>
          <w:szCs w:val="20"/>
          <w:color w:val="auto"/>
        </w:rPr>
      </w:pPr>
      <w:r>
        <w:rPr>
          <w:rFonts w:ascii="Arial" w:cs="Arial" w:eastAsia="Arial" w:hAnsi="Arial"/>
          <w:sz w:val="13"/>
          <w:szCs w:val="13"/>
          <w:color w:val="auto"/>
        </w:rPr>
        <w:t>Net cash used in investing activities – continuing operations</w:t>
      </w:r>
    </w:p>
    <w:p>
      <w:pPr>
        <w:spacing w:after="0" w:line="14" w:lineRule="exact"/>
        <w:rPr>
          <w:sz w:val="20"/>
          <w:szCs w:val="20"/>
          <w:color w:val="auto"/>
        </w:rPr>
      </w:pPr>
    </w:p>
    <w:p>
      <w:pPr>
        <w:ind w:left="340" w:right="460" w:hanging="161"/>
        <w:spacing w:after="0" w:line="280" w:lineRule="auto"/>
        <w:rPr>
          <w:sz w:val="20"/>
          <w:szCs w:val="20"/>
          <w:color w:val="auto"/>
        </w:rPr>
      </w:pPr>
      <w:r>
        <w:rPr>
          <w:rFonts w:ascii="Arial" w:cs="Arial" w:eastAsia="Arial" w:hAnsi="Arial"/>
          <w:sz w:val="12"/>
          <w:szCs w:val="12"/>
          <w:color w:val="auto"/>
        </w:rPr>
        <w:t>Net cash provided by (used in) investing activities – discontinued operations</w:t>
      </w:r>
    </w:p>
    <w:p>
      <w:pPr>
        <w:ind w:left="40"/>
        <w:spacing w:after="0"/>
        <w:rPr>
          <w:sz w:val="20"/>
          <w:szCs w:val="20"/>
          <w:color w:val="auto"/>
        </w:rPr>
      </w:pPr>
      <w:r>
        <w:rPr>
          <w:rFonts w:ascii="Arial" w:cs="Arial" w:eastAsia="Arial" w:hAnsi="Arial"/>
          <w:sz w:val="13"/>
          <w:szCs w:val="13"/>
          <w:b w:val="1"/>
          <w:bCs w:val="1"/>
          <w:color w:val="auto"/>
        </w:rPr>
        <w:t>Net cash used in investing activities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Cash flows from financing activities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640" w:type="dxa"/>
            <w:vAlign w:val="bottom"/>
          </w:tcPr>
          <w:p>
            <w:pPr>
              <w:jc w:val="right"/>
              <w:spacing w:after="0"/>
              <w:rPr>
                <w:sz w:val="20"/>
                <w:szCs w:val="20"/>
                <w:color w:val="auto"/>
              </w:rPr>
            </w:pPr>
            <w:r>
              <w:rPr>
                <w:rFonts w:ascii="Arial" w:cs="Arial" w:eastAsia="Arial" w:hAnsi="Arial"/>
                <w:sz w:val="13"/>
                <w:szCs w:val="13"/>
                <w:color w:val="auto"/>
              </w:rPr>
              <w:t>(8,686)</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(60)</w:t>
            </w:r>
          </w:p>
        </w:tc>
        <w:tc>
          <w:tcPr>
            <w:tcW w:w="120" w:type="dxa"/>
            <w:vAlign w:val="bottom"/>
          </w:tcPr>
          <w:p>
            <w:pPr>
              <w:spacing w:after="0"/>
              <w:rPr>
                <w:sz w:val="14"/>
                <w:szCs w:val="14"/>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(8,761)</w:t>
            </w:r>
          </w:p>
        </w:tc>
        <w:tc>
          <w:tcPr>
            <w:tcW w:w="12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(8,325)</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(34)</w:t>
            </w:r>
          </w:p>
        </w:tc>
        <w:tc>
          <w:tcPr>
            <w:tcW w:w="12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(94)</w:t>
            </w:r>
          </w:p>
        </w:tc>
        <w:tc>
          <w:tcPr>
            <w:tcW w:w="100" w:type="dxa"/>
            <w:vAlign w:val="bottom"/>
          </w:tcPr>
          <w:p>
            <w:pPr>
              <w:spacing w:after="0"/>
              <w:rPr>
                <w:sz w:val="14"/>
                <w:szCs w:val="14"/>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(8,453)</w:t>
            </w:r>
          </w:p>
        </w:tc>
      </w:tr>
      <w:tr>
        <w:trPr>
          <w:trHeight w:val="324"/>
        </w:trPr>
        <w:tc>
          <w:tcPr>
            <w:tcW w:w="640" w:type="dxa"/>
            <w:vAlign w:val="bottom"/>
          </w:tcPr>
          <w:p>
            <w:pPr>
              <w:jc w:val="right"/>
              <w:spacing w:after="0"/>
              <w:rPr>
                <w:sz w:val="20"/>
                <w:szCs w:val="20"/>
                <w:color w:val="auto"/>
              </w:rPr>
            </w:pPr>
            <w:r>
              <w:rPr>
                <w:rFonts w:ascii="Arial" w:cs="Arial" w:eastAsia="Arial" w:hAnsi="Arial"/>
                <w:sz w:val="13"/>
                <w:szCs w:val="13"/>
                <w:color w:val="auto"/>
              </w:rPr>
              <w:t>(2,820)</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97"/>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(2,820)</w:t>
            </w:r>
          </w:p>
        </w:tc>
        <w:tc>
          <w:tcPr>
            <w:tcW w:w="120" w:type="dxa"/>
            <w:vAlign w:val="bottom"/>
          </w:tcPr>
          <w:p>
            <w:pPr>
              <w:spacing w:after="0"/>
              <w:rPr>
                <w:sz w:val="24"/>
                <w:szCs w:val="2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(5,503)</w:t>
            </w:r>
          </w:p>
        </w:tc>
        <w:tc>
          <w:tcPr>
            <w:tcW w:w="120" w:type="dxa"/>
            <w:vAlign w:val="bottom"/>
          </w:tcPr>
          <w:p>
            <w:pPr>
              <w:spacing w:after="0"/>
              <w:rPr>
                <w:sz w:val="24"/>
                <w:szCs w:val="2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(5,503)</w:t>
            </w:r>
          </w:p>
        </w:tc>
      </w:tr>
      <w:tr>
        <w:trPr>
          <w:trHeight w:val="324"/>
        </w:trPr>
        <w:tc>
          <w:tcPr>
            <w:tcW w:w="640" w:type="dxa"/>
            <w:vAlign w:val="bottom"/>
          </w:tcPr>
          <w:p>
            <w:pPr>
              <w:jc w:val="right"/>
              <w:ind w:right="37"/>
              <w:spacing w:after="0"/>
              <w:rPr>
                <w:sz w:val="20"/>
                <w:szCs w:val="20"/>
                <w:color w:val="auto"/>
              </w:rPr>
            </w:pPr>
            <w:r>
              <w:rPr>
                <w:rFonts w:ascii="Arial" w:cs="Arial" w:eastAsia="Arial" w:hAnsi="Arial"/>
                <w:sz w:val="13"/>
                <w:szCs w:val="13"/>
                <w:color w:val="auto"/>
              </w:rPr>
              <w:t>5,108</w:t>
            </w:r>
          </w:p>
        </w:tc>
        <w:tc>
          <w:tcPr>
            <w:tcW w:w="12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5,108</w:t>
            </w:r>
          </w:p>
        </w:tc>
        <w:tc>
          <w:tcPr>
            <w:tcW w:w="120" w:type="dxa"/>
            <w:vAlign w:val="bottom"/>
          </w:tcPr>
          <w:p>
            <w:pPr>
              <w:spacing w:after="0"/>
              <w:rPr>
                <w:sz w:val="24"/>
                <w:szCs w:val="24"/>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9,007</w:t>
            </w:r>
          </w:p>
        </w:tc>
        <w:tc>
          <w:tcPr>
            <w:tcW w:w="120" w:type="dxa"/>
            <w:vAlign w:val="bottom"/>
          </w:tcPr>
          <w:p>
            <w:pPr>
              <w:spacing w:after="0"/>
              <w:rPr>
                <w:sz w:val="24"/>
                <w:szCs w:val="2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9,007</w:t>
            </w:r>
          </w:p>
        </w:tc>
      </w:tr>
      <w:tr>
        <w:trPr>
          <w:trHeight w:val="324"/>
        </w:trPr>
        <w:tc>
          <w:tcPr>
            <w:tcW w:w="640" w:type="dxa"/>
            <w:vAlign w:val="bottom"/>
          </w:tcPr>
          <w:p>
            <w:pPr>
              <w:jc w:val="right"/>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(54)</w:t>
            </w:r>
          </w:p>
        </w:tc>
        <w:tc>
          <w:tcPr>
            <w:tcW w:w="120" w:type="dxa"/>
            <w:vAlign w:val="bottom"/>
          </w:tcPr>
          <w:p>
            <w:pPr>
              <w:spacing w:after="0"/>
              <w:rPr>
                <w:sz w:val="24"/>
                <w:szCs w:val="24"/>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(83)</w:t>
            </w:r>
          </w:p>
        </w:tc>
        <w:tc>
          <w:tcPr>
            <w:tcW w:w="120" w:type="dxa"/>
            <w:vAlign w:val="bottom"/>
          </w:tcPr>
          <w:p>
            <w:pPr>
              <w:spacing w:after="0"/>
              <w:rPr>
                <w:sz w:val="24"/>
                <w:szCs w:val="2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(41)</w:t>
            </w:r>
          </w:p>
        </w:tc>
      </w:tr>
      <w:tr>
        <w:trPr>
          <w:trHeight w:val="270"/>
        </w:trPr>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(28,888)</w:t>
            </w:r>
          </w:p>
        </w:tc>
        <w:tc>
          <w:tcPr>
            <w:tcW w:w="120" w:type="dxa"/>
            <w:vAlign w:val="bottom"/>
          </w:tcPr>
          <w:p>
            <w:pPr>
              <w:spacing w:after="0"/>
              <w:rPr>
                <w:sz w:val="23"/>
                <w:szCs w:val="23"/>
                <w:color w:val="auto"/>
              </w:rPr>
            </w:pPr>
          </w:p>
        </w:tc>
        <w:tc>
          <w:tcPr>
            <w:tcW w:w="1280" w:type="dxa"/>
            <w:vAlign w:val="bottom"/>
          </w:tcPr>
          <w:p>
            <w:pPr>
              <w:jc w:val="right"/>
              <w:ind w:right="97"/>
              <w:spacing w:after="0"/>
              <w:rPr>
                <w:sz w:val="20"/>
                <w:szCs w:val="20"/>
                <w:color w:val="auto"/>
              </w:rPr>
            </w:pPr>
            <w:r>
              <w:rPr>
                <w:rFonts w:ascii="Arial" w:cs="Arial" w:eastAsia="Arial" w:hAnsi="Arial"/>
                <w:sz w:val="13"/>
                <w:szCs w:val="13"/>
                <w:color w:val="auto"/>
              </w:rPr>
              <w:t>3,217</w:t>
            </w: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(25,671)</w:t>
            </w:r>
          </w:p>
        </w:tc>
        <w:tc>
          <w:tcPr>
            <w:tcW w:w="120" w:type="dxa"/>
            <w:vAlign w:val="bottom"/>
          </w:tcPr>
          <w:p>
            <w:pPr>
              <w:spacing w:after="0"/>
              <w:rPr>
                <w:sz w:val="23"/>
                <w:szCs w:val="2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(22,108)</w:t>
            </w:r>
          </w:p>
        </w:tc>
        <w:tc>
          <w:tcPr>
            <w:tcW w:w="100" w:type="dxa"/>
            <w:vAlign w:val="bottom"/>
          </w:tcPr>
          <w:p>
            <w:pPr>
              <w:spacing w:after="0"/>
              <w:rPr>
                <w:sz w:val="23"/>
                <w:szCs w:val="23"/>
                <w:color w:val="auto"/>
              </w:rPr>
            </w:pPr>
          </w:p>
        </w:tc>
        <w:tc>
          <w:tcPr>
            <w:tcW w:w="1300" w:type="dxa"/>
            <w:vAlign w:val="bottom"/>
          </w:tcPr>
          <w:p>
            <w:pPr>
              <w:jc w:val="right"/>
              <w:ind w:right="97"/>
              <w:spacing w:after="0"/>
              <w:rPr>
                <w:sz w:val="20"/>
                <w:szCs w:val="20"/>
                <w:color w:val="auto"/>
              </w:rPr>
            </w:pPr>
            <w:r>
              <w:rPr>
                <w:rFonts w:ascii="Arial" w:cs="Arial" w:eastAsia="Arial" w:hAnsi="Arial"/>
                <w:sz w:val="13"/>
                <w:szCs w:val="13"/>
                <w:color w:val="auto"/>
              </w:rPr>
              <w:t>2,783</w:t>
            </w:r>
          </w:p>
        </w:tc>
        <w:tc>
          <w:tcPr>
            <w:tcW w:w="120" w:type="dxa"/>
            <w:vAlign w:val="bottom"/>
          </w:tcPr>
          <w:p>
            <w:pPr>
              <w:spacing w:after="0"/>
              <w:rPr>
                <w:sz w:val="23"/>
                <w:szCs w:val="23"/>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(19,325)</w:t>
            </w:r>
          </w:p>
        </w:tc>
      </w:tr>
      <w:tr>
        <w:trPr>
          <w:trHeight w:val="324"/>
        </w:trPr>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17,357</w:t>
            </w:r>
          </w:p>
        </w:tc>
        <w:tc>
          <w:tcPr>
            <w:tcW w:w="120" w:type="dxa"/>
            <w:vAlign w:val="bottom"/>
          </w:tcPr>
          <w:p>
            <w:pPr>
              <w:spacing w:after="0"/>
              <w:rPr>
                <w:sz w:val="24"/>
                <w:szCs w:val="24"/>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(309)</w:t>
            </w:r>
          </w:p>
        </w:tc>
        <w:tc>
          <w:tcPr>
            <w:tcW w:w="12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17,048</w:t>
            </w:r>
          </w:p>
        </w:tc>
        <w:tc>
          <w:tcPr>
            <w:tcW w:w="120" w:type="dxa"/>
            <w:vAlign w:val="bottom"/>
          </w:tcPr>
          <w:p>
            <w:pPr>
              <w:spacing w:after="0"/>
              <w:rPr>
                <w:sz w:val="24"/>
                <w:szCs w:val="2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12,854</w:t>
            </w:r>
          </w:p>
        </w:tc>
        <w:tc>
          <w:tcPr>
            <w:tcW w:w="100" w:type="dxa"/>
            <w:vAlign w:val="bottom"/>
          </w:tcPr>
          <w:p>
            <w:pPr>
              <w:spacing w:after="0"/>
              <w:rPr>
                <w:sz w:val="24"/>
                <w:szCs w:val="24"/>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(276)</w:t>
            </w:r>
          </w:p>
        </w:tc>
        <w:tc>
          <w:tcPr>
            <w:tcW w:w="120" w:type="dxa"/>
            <w:vAlign w:val="bottom"/>
          </w:tcPr>
          <w:p>
            <w:pPr>
              <w:spacing w:after="0"/>
              <w:rPr>
                <w:sz w:val="24"/>
                <w:szCs w:val="24"/>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12,578</w:t>
            </w:r>
          </w:p>
        </w:tc>
      </w:tr>
      <w:tr>
        <w:trPr>
          <w:trHeight w:val="270"/>
        </w:trPr>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(16,736)</w:t>
            </w:r>
          </w:p>
        </w:tc>
        <w:tc>
          <w:tcPr>
            <w:tcW w:w="120" w:type="dxa"/>
            <w:vAlign w:val="bottom"/>
          </w:tcPr>
          <w:p>
            <w:pPr>
              <w:spacing w:after="0"/>
              <w:rPr>
                <w:sz w:val="23"/>
                <w:szCs w:val="23"/>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(16,736)</w:t>
            </w:r>
          </w:p>
        </w:tc>
        <w:tc>
          <w:tcPr>
            <w:tcW w:w="120" w:type="dxa"/>
            <w:vAlign w:val="bottom"/>
          </w:tcPr>
          <w:p>
            <w:pPr>
              <w:spacing w:after="0"/>
              <w:rPr>
                <w:sz w:val="23"/>
                <w:szCs w:val="2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(19,180)</w:t>
            </w:r>
          </w:p>
        </w:tc>
        <w:tc>
          <w:tcPr>
            <w:tcW w:w="100" w:type="dxa"/>
            <w:vAlign w:val="bottom"/>
          </w:tcPr>
          <w:p>
            <w:pPr>
              <w:spacing w:after="0"/>
              <w:rPr>
                <w:sz w:val="23"/>
                <w:szCs w:val="23"/>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(19,180)</w:t>
            </w:r>
          </w:p>
        </w:tc>
      </w:tr>
      <w:tr>
        <w:trPr>
          <w:trHeight w:val="270"/>
        </w:trPr>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10,864</w:t>
            </w:r>
          </w:p>
        </w:tc>
        <w:tc>
          <w:tcPr>
            <w:tcW w:w="120" w:type="dxa"/>
            <w:vAlign w:val="bottom"/>
          </w:tcPr>
          <w:p>
            <w:pPr>
              <w:spacing w:after="0"/>
              <w:rPr>
                <w:sz w:val="23"/>
                <w:szCs w:val="23"/>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10,864</w:t>
            </w:r>
          </w:p>
        </w:tc>
        <w:tc>
          <w:tcPr>
            <w:tcW w:w="120" w:type="dxa"/>
            <w:vAlign w:val="bottom"/>
          </w:tcPr>
          <w:p>
            <w:pPr>
              <w:spacing w:after="0"/>
              <w:rPr>
                <w:sz w:val="23"/>
                <w:szCs w:val="2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6,667</w:t>
            </w:r>
          </w:p>
        </w:tc>
        <w:tc>
          <w:tcPr>
            <w:tcW w:w="100" w:type="dxa"/>
            <w:vAlign w:val="bottom"/>
          </w:tcPr>
          <w:p>
            <w:pPr>
              <w:spacing w:after="0"/>
              <w:rPr>
                <w:sz w:val="23"/>
                <w:szCs w:val="23"/>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6,667</w:t>
            </w:r>
          </w:p>
        </w:tc>
      </w:tr>
      <w:tr>
        <w:trPr>
          <w:trHeight w:val="278"/>
        </w:trPr>
        <w:tc>
          <w:tcPr>
            <w:tcW w:w="640" w:type="dxa"/>
            <w:vAlign w:val="bottom"/>
          </w:tcPr>
          <w:p>
            <w:pPr>
              <w:jc w:val="right"/>
              <w:spacing w:after="0"/>
              <w:rPr>
                <w:sz w:val="20"/>
                <w:szCs w:val="20"/>
                <w:color w:val="auto"/>
              </w:rPr>
            </w:pPr>
            <w:r>
              <w:rPr>
                <w:rFonts w:ascii="Arial" w:cs="Arial" w:eastAsia="Arial" w:hAnsi="Arial"/>
                <w:sz w:val="13"/>
                <w:szCs w:val="13"/>
                <w:color w:val="auto"/>
              </w:rPr>
              <w:t>(1,254)</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280" w:type="dxa"/>
            <w:vAlign w:val="bottom"/>
          </w:tcPr>
          <w:p>
            <w:pPr>
              <w:jc w:val="right"/>
              <w:ind w:right="97"/>
              <w:spacing w:after="0"/>
              <w:rPr>
                <w:sz w:val="20"/>
                <w:szCs w:val="20"/>
                <w:color w:val="auto"/>
              </w:rPr>
            </w:pPr>
            <w:r>
              <w:rPr>
                <w:rFonts w:ascii="Arial" w:cs="Arial" w:eastAsia="Arial" w:hAnsi="Arial"/>
                <w:sz w:val="13"/>
                <w:szCs w:val="13"/>
                <w:color w:val="auto"/>
              </w:rPr>
              <w:t>1,394</w:t>
            </w:r>
          </w:p>
        </w:tc>
        <w:tc>
          <w:tcPr>
            <w:tcW w:w="12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122</w:t>
            </w:r>
          </w:p>
        </w:tc>
        <w:tc>
          <w:tcPr>
            <w:tcW w:w="120" w:type="dxa"/>
            <w:vAlign w:val="bottom"/>
          </w:tcPr>
          <w:p>
            <w:pPr>
              <w:spacing w:after="0"/>
              <w:rPr>
                <w:sz w:val="24"/>
                <w:szCs w:val="2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(404)</w:t>
            </w:r>
          </w:p>
        </w:tc>
        <w:tc>
          <w:tcPr>
            <w:tcW w:w="120" w:type="dxa"/>
            <w:vAlign w:val="bottom"/>
          </w:tcPr>
          <w:p>
            <w:pPr>
              <w:spacing w:after="0"/>
              <w:rPr>
                <w:sz w:val="24"/>
                <w:szCs w:val="2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4"/>
                <w:szCs w:val="24"/>
                <w:color w:val="auto"/>
              </w:rPr>
            </w:pPr>
          </w:p>
        </w:tc>
        <w:tc>
          <w:tcPr>
            <w:tcW w:w="1300" w:type="dxa"/>
            <w:vAlign w:val="bottom"/>
          </w:tcPr>
          <w:p>
            <w:pPr>
              <w:jc w:val="right"/>
              <w:ind w:right="97"/>
              <w:spacing w:after="0"/>
              <w:rPr>
                <w:sz w:val="20"/>
                <w:szCs w:val="20"/>
                <w:color w:val="auto"/>
              </w:rPr>
            </w:pPr>
            <w:r>
              <w:rPr>
                <w:rFonts w:ascii="Arial" w:cs="Arial" w:eastAsia="Arial" w:hAnsi="Arial"/>
                <w:sz w:val="13"/>
                <w:szCs w:val="13"/>
                <w:color w:val="auto"/>
              </w:rPr>
              <w:t>583</w:t>
            </w:r>
          </w:p>
        </w:tc>
        <w:tc>
          <w:tcPr>
            <w:tcW w:w="120" w:type="dxa"/>
            <w:vAlign w:val="bottom"/>
          </w:tcPr>
          <w:p>
            <w:pPr>
              <w:spacing w:after="0"/>
              <w:rPr>
                <w:sz w:val="24"/>
                <w:szCs w:val="24"/>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178</w:t>
            </w:r>
          </w:p>
        </w:tc>
      </w:tr>
      <w:tr>
        <w:trPr>
          <w:trHeight w:val="297"/>
        </w:trPr>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(7,681)</w:t>
            </w:r>
          </w:p>
        </w:tc>
        <w:tc>
          <w:tcPr>
            <w:tcW w:w="120" w:type="dxa"/>
            <w:vAlign w:val="bottom"/>
          </w:tcPr>
          <w:p>
            <w:pPr>
              <w:spacing w:after="0"/>
              <w:rPr>
                <w:sz w:val="24"/>
                <w:szCs w:val="2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(124)</w:t>
            </w:r>
          </w:p>
        </w:tc>
        <w:tc>
          <w:tcPr>
            <w:tcW w:w="120" w:type="dxa"/>
            <w:vAlign w:val="bottom"/>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(17,516)</w:t>
            </w:r>
          </w:p>
        </w:tc>
        <w:tc>
          <w:tcPr>
            <w:tcW w:w="120" w:type="dxa"/>
            <w:vAlign w:val="bottom"/>
          </w:tcPr>
          <w:p>
            <w:pPr>
              <w:spacing w:after="0"/>
              <w:rPr>
                <w:sz w:val="24"/>
                <w:szCs w:val="24"/>
                <w:color w:val="auto"/>
              </w:rPr>
            </w:pPr>
          </w:p>
        </w:tc>
        <w:tc>
          <w:tcPr>
            <w:tcW w:w="128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4,392</w:t>
            </w:r>
          </w:p>
        </w:tc>
        <w:tc>
          <w:tcPr>
            <w:tcW w:w="120" w:type="dxa"/>
            <w:vAlign w:val="bottom"/>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(20,929)</w:t>
            </w:r>
          </w:p>
        </w:tc>
        <w:tc>
          <w:tcPr>
            <w:tcW w:w="120" w:type="dxa"/>
            <w:vAlign w:val="bottom"/>
          </w:tcPr>
          <w:p>
            <w:pPr>
              <w:spacing w:after="0"/>
              <w:rPr>
                <w:sz w:val="24"/>
                <w:szCs w:val="24"/>
                <w:color w:val="auto"/>
              </w:rPr>
            </w:pPr>
          </w:p>
        </w:tc>
        <w:tc>
          <w:tcPr>
            <w:tcW w:w="6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(5,229)</w:t>
            </w:r>
          </w:p>
        </w:tc>
        <w:tc>
          <w:tcPr>
            <w:tcW w:w="120" w:type="dxa"/>
            <w:vAlign w:val="bottom"/>
          </w:tcPr>
          <w:p>
            <w:pPr>
              <w:spacing w:after="0"/>
              <w:rPr>
                <w:sz w:val="24"/>
                <w:szCs w:val="2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24"/>
                <w:szCs w:val="24"/>
                <w:color w:val="auto"/>
              </w:rPr>
            </w:pPr>
          </w:p>
        </w:tc>
        <w:tc>
          <w:tcPr>
            <w:tcW w:w="6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(21,862)</w:t>
            </w:r>
          </w:p>
        </w:tc>
        <w:tc>
          <w:tcPr>
            <w:tcW w:w="100" w:type="dxa"/>
            <w:vAlign w:val="bottom"/>
          </w:tcPr>
          <w:p>
            <w:pPr>
              <w:spacing w:after="0"/>
              <w:rPr>
                <w:sz w:val="24"/>
                <w:szCs w:val="24"/>
                <w:color w:val="auto"/>
              </w:rPr>
            </w:pPr>
          </w:p>
        </w:tc>
        <w:tc>
          <w:tcPr>
            <w:tcW w:w="130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3,090</w:t>
            </w:r>
          </w:p>
        </w:tc>
        <w:tc>
          <w:tcPr>
            <w:tcW w:w="120" w:type="dxa"/>
            <w:vAlign w:val="bottom"/>
          </w:tcPr>
          <w:p>
            <w:pPr>
              <w:spacing w:after="0"/>
              <w:rPr>
                <w:sz w:val="24"/>
                <w:szCs w:val="24"/>
                <w:color w:val="auto"/>
              </w:rPr>
            </w:pPr>
          </w:p>
        </w:tc>
        <w:tc>
          <w:tcPr>
            <w:tcW w:w="6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(24,072)</w:t>
            </w:r>
          </w:p>
        </w:tc>
      </w:tr>
      <w:tr>
        <w:trPr>
          <w:trHeight w:val="332"/>
        </w:trPr>
        <w:tc>
          <w:tcPr>
            <w:tcW w:w="640" w:type="dxa"/>
            <w:vAlign w:val="bottom"/>
          </w:tcPr>
          <w:p>
            <w:pPr>
              <w:jc w:val="right"/>
              <w:ind w:right="37"/>
              <w:spacing w:after="0"/>
              <w:rPr>
                <w:sz w:val="20"/>
                <w:szCs w:val="20"/>
                <w:color w:val="auto"/>
              </w:rPr>
            </w:pPr>
            <w:r>
              <w:rPr>
                <w:rFonts w:ascii="Arial" w:cs="Arial" w:eastAsia="Arial" w:hAnsi="Arial"/>
                <w:sz w:val="13"/>
                <w:szCs w:val="13"/>
                <w:color w:val="auto"/>
              </w:rPr>
              <w:t>166</w:t>
            </w:r>
          </w:p>
        </w:tc>
        <w:tc>
          <w:tcPr>
            <w:tcW w:w="12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166</w:t>
            </w:r>
          </w:p>
        </w:tc>
        <w:tc>
          <w:tcPr>
            <w:tcW w:w="120" w:type="dxa"/>
            <w:vAlign w:val="bottom"/>
          </w:tcPr>
          <w:p>
            <w:pPr>
              <w:spacing w:after="0"/>
              <w:rPr>
                <w:sz w:val="24"/>
                <w:szCs w:val="2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(3,613)</w:t>
            </w:r>
          </w:p>
        </w:tc>
        <w:tc>
          <w:tcPr>
            <w:tcW w:w="120" w:type="dxa"/>
            <w:vAlign w:val="bottom"/>
          </w:tcPr>
          <w:p>
            <w:pPr>
              <w:spacing w:after="0"/>
              <w:rPr>
                <w:sz w:val="24"/>
                <w:szCs w:val="2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4"/>
                <w:szCs w:val="24"/>
                <w:color w:val="auto"/>
              </w:rPr>
            </w:pPr>
          </w:p>
        </w:tc>
        <w:tc>
          <w:tcPr>
            <w:tcW w:w="1300" w:type="dxa"/>
            <w:vAlign w:val="bottom"/>
          </w:tcPr>
          <w:p>
            <w:pPr>
              <w:jc w:val="right"/>
              <w:ind w:right="97"/>
              <w:spacing w:after="0"/>
              <w:rPr>
                <w:sz w:val="20"/>
                <w:szCs w:val="20"/>
                <w:color w:val="auto"/>
              </w:rPr>
            </w:pPr>
            <w:r>
              <w:rPr>
                <w:rFonts w:ascii="Arial" w:cs="Arial" w:eastAsia="Arial" w:hAnsi="Arial"/>
                <w:sz w:val="13"/>
                <w:szCs w:val="13"/>
                <w:color w:val="auto"/>
              </w:rPr>
              <w:t>109</w:t>
            </w:r>
          </w:p>
        </w:tc>
        <w:tc>
          <w:tcPr>
            <w:tcW w:w="120" w:type="dxa"/>
            <w:vAlign w:val="bottom"/>
          </w:tcPr>
          <w:p>
            <w:pPr>
              <w:spacing w:after="0"/>
              <w:rPr>
                <w:sz w:val="24"/>
                <w:szCs w:val="2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(3,500)</w:t>
            </w:r>
          </w:p>
        </w:tc>
      </w:tr>
      <w:tr>
        <w:trPr>
          <w:trHeight w:val="243"/>
        </w:trPr>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(7,515)</w:t>
            </w:r>
          </w:p>
        </w:tc>
        <w:tc>
          <w:tcPr>
            <w:tcW w:w="120" w:type="dxa"/>
            <w:vAlign w:val="bottom"/>
          </w:tcPr>
          <w:p>
            <w:pPr>
              <w:spacing w:after="0"/>
              <w:rPr>
                <w:sz w:val="21"/>
                <w:szCs w:val="21"/>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(124)</w:t>
            </w:r>
          </w:p>
        </w:tc>
        <w:tc>
          <w:tcPr>
            <w:tcW w:w="120" w:type="dxa"/>
            <w:vAlign w:val="bottom"/>
          </w:tcPr>
          <w:p>
            <w:pPr>
              <w:spacing w:after="0"/>
              <w:rPr>
                <w:sz w:val="21"/>
                <w:szCs w:val="21"/>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(17,516)</w:t>
            </w:r>
          </w:p>
        </w:tc>
        <w:tc>
          <w:tcPr>
            <w:tcW w:w="120" w:type="dxa"/>
            <w:vAlign w:val="bottom"/>
          </w:tcPr>
          <w:p>
            <w:pPr>
              <w:spacing w:after="0"/>
              <w:rPr>
                <w:sz w:val="21"/>
                <w:szCs w:val="21"/>
                <w:color w:val="auto"/>
              </w:rPr>
            </w:pPr>
          </w:p>
        </w:tc>
        <w:tc>
          <w:tcPr>
            <w:tcW w:w="128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4,392</w:t>
            </w:r>
          </w:p>
        </w:tc>
        <w:tc>
          <w:tcPr>
            <w:tcW w:w="120" w:type="dxa"/>
            <w:vAlign w:val="bottom"/>
          </w:tcPr>
          <w:p>
            <w:pPr>
              <w:spacing w:after="0"/>
              <w:rPr>
                <w:sz w:val="21"/>
                <w:szCs w:val="21"/>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(20,763)</w:t>
            </w:r>
          </w:p>
        </w:tc>
        <w:tc>
          <w:tcPr>
            <w:tcW w:w="120" w:type="dxa"/>
            <w:vAlign w:val="bottom"/>
          </w:tcPr>
          <w:p>
            <w:pPr>
              <w:spacing w:after="0"/>
              <w:rPr>
                <w:sz w:val="21"/>
                <w:szCs w:val="21"/>
                <w:color w:val="auto"/>
              </w:rPr>
            </w:pPr>
          </w:p>
        </w:tc>
        <w:tc>
          <w:tcPr>
            <w:tcW w:w="6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(8,842)</w:t>
            </w:r>
          </w:p>
        </w:tc>
        <w:tc>
          <w:tcPr>
            <w:tcW w:w="120" w:type="dxa"/>
            <w:vAlign w:val="bottom"/>
          </w:tcPr>
          <w:p>
            <w:pPr>
              <w:spacing w:after="0"/>
              <w:rPr>
                <w:sz w:val="21"/>
                <w:szCs w:val="21"/>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21"/>
                <w:szCs w:val="21"/>
                <w:color w:val="auto"/>
              </w:rPr>
            </w:pPr>
          </w:p>
        </w:tc>
        <w:tc>
          <w:tcPr>
            <w:tcW w:w="6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(21,858)</w:t>
            </w:r>
          </w:p>
        </w:tc>
        <w:tc>
          <w:tcPr>
            <w:tcW w:w="100" w:type="dxa"/>
            <w:vAlign w:val="bottom"/>
          </w:tcPr>
          <w:p>
            <w:pPr>
              <w:spacing w:after="0"/>
              <w:rPr>
                <w:sz w:val="21"/>
                <w:szCs w:val="21"/>
                <w:color w:val="auto"/>
              </w:rPr>
            </w:pPr>
          </w:p>
        </w:tc>
        <w:tc>
          <w:tcPr>
            <w:tcW w:w="130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3,199</w:t>
            </w:r>
          </w:p>
        </w:tc>
        <w:tc>
          <w:tcPr>
            <w:tcW w:w="120" w:type="dxa"/>
            <w:vAlign w:val="bottom"/>
          </w:tcPr>
          <w:p>
            <w:pPr>
              <w:spacing w:after="0"/>
              <w:rPr>
                <w:sz w:val="21"/>
                <w:szCs w:val="21"/>
                <w:color w:val="auto"/>
              </w:rPr>
            </w:pPr>
          </w:p>
        </w:tc>
        <w:tc>
          <w:tcPr>
            <w:tcW w:w="6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(27,572)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-1852295</wp:posOffset>
            </wp:positionH>
            <wp:positionV relativeFrom="paragraph">
              <wp:posOffset>-1877060</wp:posOffset>
            </wp:positionV>
            <wp:extent cx="7237730"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7730" cy="205740"/>
                    </a:xfrm>
                    <a:prstGeom prst="rect">
                      <a:avLst/>
                    </a:prstGeom>
                    <a:noFill/>
                  </pic:spPr>
                </pic:pic>
              </a:graphicData>
            </a:graphic>
          </wp:anchor>
        </w:drawing>
        <w:drawing>
          <wp:anchor simplePos="0" relativeHeight="251657728" behindDoc="1" locked="0" layoutInCell="0" allowOverlap="1">
            <wp:simplePos x="0" y="0"/>
            <wp:positionH relativeFrom="column">
              <wp:posOffset>-1852295</wp:posOffset>
            </wp:positionH>
            <wp:positionV relativeFrom="paragraph">
              <wp:posOffset>-1465580</wp:posOffset>
            </wp:positionV>
            <wp:extent cx="723773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-1852295</wp:posOffset>
            </wp:positionH>
            <wp:positionV relativeFrom="paragraph">
              <wp:posOffset>-1088390</wp:posOffset>
            </wp:positionV>
            <wp:extent cx="723773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-1852295</wp:posOffset>
            </wp:positionH>
            <wp:positionV relativeFrom="paragraph">
              <wp:posOffset>-744855</wp:posOffset>
            </wp:positionV>
            <wp:extent cx="723773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-1852295</wp:posOffset>
            </wp:positionH>
            <wp:positionV relativeFrom="paragraph">
              <wp:posOffset>-367665</wp:posOffset>
            </wp:positionV>
            <wp:extent cx="7237730"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7730" cy="205740"/>
                    </a:xfrm>
                    <a:prstGeom prst="rect">
                      <a:avLst/>
                    </a:prstGeom>
                    <a:noFill/>
                  </pic:spPr>
                </pic:pic>
              </a:graphicData>
            </a:graphic>
          </wp:anchor>
        </w:drawing>
        <w:drawing>
          <wp:anchor simplePos="0" relativeHeight="251657728" behindDoc="1" locked="0" layoutInCell="0" allowOverlap="1">
            <wp:simplePos x="0" y="0"/>
            <wp:positionH relativeFrom="column">
              <wp:posOffset>-1852295</wp:posOffset>
            </wp:positionH>
            <wp:positionV relativeFrom="paragraph">
              <wp:posOffset>8890</wp:posOffset>
            </wp:positionV>
            <wp:extent cx="723773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289" w:lineRule="exact"/>
        <w:rPr>
          <w:sz w:val="20"/>
          <w:szCs w:val="20"/>
          <w:color w:val="auto"/>
        </w:rPr>
      </w:pPr>
    </w:p>
    <w:p>
      <w:pPr>
        <w:sectPr>
          <w:pgSz w:w="11900" w:h="16838" w:orient="portrait"/>
          <w:cols w:equalWidth="0" w:num="2">
            <w:col w:w="2880" w:space="60"/>
            <w:col w:w="8480"/>
          </w:cols>
          <w:pgMar w:left="240" w:top="335" w:right="239" w:bottom="0" w:gutter="0" w:footer="0" w:header="0"/>
          <w:type w:val="continuous"/>
        </w:sectPr>
      </w:pPr>
    </w:p>
    <w:p>
      <w:pPr>
        <w:ind w:left="180"/>
        <w:spacing w:after="0"/>
        <w:rPr>
          <w:sz w:val="20"/>
          <w:szCs w:val="20"/>
          <w:color w:val="auto"/>
        </w:rPr>
      </w:pPr>
      <w:r>
        <w:rPr>
          <w:rFonts w:ascii="Arial" w:cs="Arial" w:eastAsia="Arial" w:hAnsi="Arial"/>
          <w:sz w:val="13"/>
          <w:szCs w:val="13"/>
          <w:color w:val="auto"/>
        </w:rPr>
        <w:t>Net increase (decrease) in short-term debt</w:t>
      </w:r>
    </w:p>
    <w:p>
      <w:pPr>
        <w:spacing w:after="0" w:line="121" w:lineRule="exact"/>
        <w:rPr>
          <w:sz w:val="20"/>
          <w:szCs w:val="20"/>
          <w:color w:val="auto"/>
        </w:rPr>
      </w:pPr>
    </w:p>
    <w:p>
      <w:pPr>
        <w:ind w:left="340" w:right="260" w:hanging="161"/>
        <w:spacing w:after="0" w:line="281" w:lineRule="auto"/>
        <w:rPr>
          <w:sz w:val="20"/>
          <w:szCs w:val="20"/>
          <w:color w:val="auto"/>
        </w:rPr>
      </w:pPr>
      <w:r>
        <w:rPr>
          <w:rFonts w:ascii="Arial" w:cs="Arial" w:eastAsia="Arial" w:hAnsi="Arial"/>
          <w:sz w:val="12"/>
          <w:szCs w:val="12"/>
          <w:color w:val="auto"/>
        </w:rPr>
        <w:t>Proceeds from issuance of debt (original maturities greater than three months)(d)</w:t>
      </w:r>
    </w:p>
    <w:p>
      <w:pPr>
        <w:spacing w:after="0" w:line="1" w:lineRule="exact"/>
        <w:rPr>
          <w:sz w:val="20"/>
          <w:szCs w:val="20"/>
          <w:color w:val="auto"/>
        </w:rPr>
      </w:pPr>
    </w:p>
    <w:p>
      <w:pPr>
        <w:ind w:left="340" w:right="120" w:hanging="161"/>
        <w:spacing w:after="0" w:line="249" w:lineRule="auto"/>
        <w:rPr>
          <w:sz w:val="20"/>
          <w:szCs w:val="20"/>
          <w:color w:val="auto"/>
        </w:rPr>
      </w:pPr>
      <w:r>
        <w:rPr>
          <w:rFonts w:ascii="Arial" w:cs="Arial" w:eastAsia="Arial" w:hAnsi="Arial"/>
          <w:sz w:val="13"/>
          <w:szCs w:val="13"/>
          <w:color w:val="auto"/>
        </w:rPr>
        <w:t>Payments on debt (original maturities greater than three months)</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Payments to purchase common stock(c)</w:t>
      </w:r>
    </w:p>
    <w:p>
      <w:pPr>
        <w:spacing w:after="0" w:line="121" w:lineRule="exact"/>
        <w:rPr>
          <w:sz w:val="20"/>
          <w:szCs w:val="20"/>
          <w:color w:val="auto"/>
        </w:rPr>
      </w:pPr>
    </w:p>
    <w:p>
      <w:pPr>
        <w:ind w:left="340" w:hanging="161"/>
        <w:spacing w:after="0" w:line="249" w:lineRule="auto"/>
        <w:rPr>
          <w:sz w:val="20"/>
          <w:szCs w:val="20"/>
          <w:color w:val="auto"/>
        </w:rPr>
      </w:pPr>
      <w:r>
        <w:rPr>
          <w:rFonts w:ascii="Arial" w:cs="Arial" w:eastAsia="Arial" w:hAnsi="Arial"/>
          <w:sz w:val="13"/>
          <w:szCs w:val="13"/>
          <w:color w:val="auto"/>
        </w:rPr>
        <w:t>Proceeds from issuance of subsidiary preferred and common stock(d)</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3"/>
          <w:szCs w:val="13"/>
          <w:color w:val="auto"/>
        </w:rPr>
        <w:t>Dividends paid(e)</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financing activities</w:t>
      </w:r>
    </w:p>
    <w:p>
      <w:pPr>
        <w:spacing w:after="0" w:line="121" w:lineRule="exact"/>
        <w:rPr>
          <w:sz w:val="20"/>
          <w:szCs w:val="20"/>
          <w:color w:val="auto"/>
        </w:rPr>
      </w:pPr>
    </w:p>
    <w:p>
      <w:pPr>
        <w:ind w:left="340" w:right="400" w:hanging="161"/>
        <w:spacing w:after="0" w:line="281" w:lineRule="auto"/>
        <w:rPr>
          <w:sz w:val="20"/>
          <w:szCs w:val="20"/>
          <w:color w:val="auto"/>
        </w:rPr>
      </w:pPr>
      <w:r>
        <w:rPr>
          <w:rFonts w:ascii="Arial" w:cs="Arial" w:eastAsia="Arial" w:hAnsi="Arial"/>
          <w:sz w:val="12"/>
          <w:szCs w:val="12"/>
          <w:color w:val="auto"/>
        </w:rPr>
        <w:t>Net cash provided by (used in) financing activities – continuing operations</w:t>
      </w:r>
    </w:p>
    <w:p>
      <w:pPr>
        <w:spacing w:after="0" w:line="1" w:lineRule="exact"/>
        <w:rPr>
          <w:sz w:val="20"/>
          <w:szCs w:val="20"/>
          <w:color w:val="auto"/>
        </w:rPr>
      </w:pPr>
    </w:p>
    <w:p>
      <w:pPr>
        <w:ind w:left="340" w:right="400" w:hanging="161"/>
        <w:spacing w:after="0" w:line="280" w:lineRule="auto"/>
        <w:rPr>
          <w:sz w:val="20"/>
          <w:szCs w:val="20"/>
          <w:color w:val="auto"/>
        </w:rPr>
      </w:pPr>
      <w:r>
        <w:rPr>
          <w:rFonts w:ascii="Arial" w:cs="Arial" w:eastAsia="Arial" w:hAnsi="Arial"/>
          <w:sz w:val="12"/>
          <w:szCs w:val="12"/>
          <w:color w:val="auto"/>
        </w:rPr>
        <w:t>Net cash provided by (used in) financing activities – discontinued operations</w:t>
      </w:r>
    </w:p>
    <w:p>
      <w:pPr>
        <w:ind w:left="200" w:right="340" w:hanging="161"/>
        <w:spacing w:after="0" w:line="261" w:lineRule="auto"/>
        <w:rPr>
          <w:sz w:val="20"/>
          <w:szCs w:val="20"/>
          <w:color w:val="auto"/>
        </w:rPr>
      </w:pPr>
      <w:r>
        <w:rPr>
          <w:rFonts w:ascii="Arial" w:cs="Arial" w:eastAsia="Arial" w:hAnsi="Arial"/>
          <w:sz w:val="13"/>
          <w:szCs w:val="13"/>
          <w:b w:val="1"/>
          <w:bCs w:val="1"/>
          <w:color w:val="auto"/>
        </w:rPr>
        <w:t>Net cash provided by (used in) financing activities</w:t>
      </w:r>
    </w:p>
    <w:p>
      <w:pPr>
        <w:spacing w:after="0" w:line="1" w:lineRule="exact"/>
        <w:rPr>
          <w:sz w:val="20"/>
          <w:szCs w:val="20"/>
          <w:color w:val="auto"/>
        </w:rPr>
      </w:pPr>
    </w:p>
    <w:p>
      <w:pPr>
        <w:ind w:left="340" w:right="20" w:hanging="161"/>
        <w:spacing w:after="0" w:line="249" w:lineRule="auto"/>
        <w:rPr>
          <w:sz w:val="20"/>
          <w:szCs w:val="20"/>
          <w:color w:val="auto"/>
        </w:rPr>
      </w:pPr>
      <w:r>
        <w:rPr>
          <w:rFonts w:ascii="Arial" w:cs="Arial" w:eastAsia="Arial" w:hAnsi="Arial"/>
          <w:sz w:val="13"/>
          <w:szCs w:val="13"/>
          <w:color w:val="auto"/>
        </w:rPr>
        <w:t>Effect of exchange rate changes on cash, cash equivalents and restricted cash</w:t>
      </w:r>
    </w:p>
    <w:p>
      <w:pPr>
        <w:spacing w:after="0" w:line="14" w:lineRule="exact"/>
        <w:rPr>
          <w:sz w:val="20"/>
          <w:szCs w:val="20"/>
          <w:color w:val="auto"/>
        </w:rPr>
      </w:pPr>
    </w:p>
    <w:p>
      <w:pPr>
        <w:ind w:left="340" w:right="520" w:hanging="161"/>
        <w:spacing w:after="0" w:line="281" w:lineRule="auto"/>
        <w:rPr>
          <w:sz w:val="20"/>
          <w:szCs w:val="20"/>
          <w:color w:val="auto"/>
        </w:rPr>
      </w:pPr>
      <w:r>
        <w:rPr>
          <w:rFonts w:ascii="Arial" w:cs="Arial" w:eastAsia="Arial" w:hAnsi="Arial"/>
          <w:sz w:val="12"/>
          <w:szCs w:val="12"/>
          <w:color w:val="auto"/>
        </w:rPr>
        <w:t>Net increase (decrease) in cash, cash equivalents and restricted cash</w:t>
      </w:r>
    </w:p>
    <w:p>
      <w:pPr>
        <w:spacing w:after="0" w:line="1" w:lineRule="exact"/>
        <w:rPr>
          <w:sz w:val="20"/>
          <w:szCs w:val="20"/>
          <w:color w:val="auto"/>
        </w:rPr>
      </w:pPr>
    </w:p>
    <w:p>
      <w:pPr>
        <w:ind w:left="200" w:right="240" w:hanging="161"/>
        <w:spacing w:after="0" w:line="249" w:lineRule="auto"/>
        <w:rPr>
          <w:sz w:val="20"/>
          <w:szCs w:val="20"/>
          <w:color w:val="auto"/>
        </w:rPr>
      </w:pPr>
      <w:r>
        <w:rPr>
          <w:rFonts w:ascii="Arial" w:cs="Arial" w:eastAsia="Arial" w:hAnsi="Arial"/>
          <w:sz w:val="13"/>
          <w:szCs w:val="13"/>
          <w:color w:val="auto"/>
        </w:rPr>
        <w:t>Cash, cash equivalents and restricted cash at beginning of period</w:t>
      </w:r>
    </w:p>
    <w:p>
      <w:pPr>
        <w:spacing w:after="0" w:line="12" w:lineRule="exact"/>
        <w:rPr>
          <w:sz w:val="20"/>
          <w:szCs w:val="20"/>
          <w:color w:val="auto"/>
        </w:rPr>
      </w:pPr>
    </w:p>
    <w:p>
      <w:pPr>
        <w:ind w:left="200" w:right="40" w:hanging="161"/>
        <w:spacing w:after="0" w:line="261" w:lineRule="auto"/>
        <w:rPr>
          <w:sz w:val="20"/>
          <w:szCs w:val="20"/>
          <w:color w:val="auto"/>
        </w:rPr>
      </w:pPr>
      <w:r>
        <w:rPr>
          <w:rFonts w:ascii="Arial" w:cs="Arial" w:eastAsia="Arial" w:hAnsi="Arial"/>
          <w:sz w:val="13"/>
          <w:szCs w:val="13"/>
          <w:b w:val="1"/>
          <w:bCs w:val="1"/>
          <w:color w:val="auto"/>
        </w:rPr>
        <w:t>Cash, cash equivalents and restricted cash at end of period</w:t>
      </w:r>
    </w:p>
    <w:p>
      <w:pPr>
        <w:spacing w:after="0" w:line="1" w:lineRule="exact"/>
        <w:rPr>
          <w:sz w:val="20"/>
          <w:szCs w:val="20"/>
          <w:color w:val="auto"/>
        </w:rPr>
      </w:pPr>
    </w:p>
    <w:p>
      <w:pPr>
        <w:ind w:left="200" w:right="280" w:hanging="161"/>
        <w:spacing w:after="0" w:line="244" w:lineRule="auto"/>
        <w:rPr>
          <w:sz w:val="20"/>
          <w:szCs w:val="20"/>
          <w:color w:val="auto"/>
        </w:rPr>
      </w:pPr>
      <w:r>
        <w:rPr>
          <w:rFonts w:ascii="Arial" w:cs="Arial" w:eastAsia="Arial" w:hAnsi="Arial"/>
          <w:sz w:val="13"/>
          <w:szCs w:val="13"/>
          <w:color w:val="auto"/>
        </w:rPr>
        <w:t>Cash, cash equivalents and restricted cash – continuing operations at end of period</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_________</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640" w:type="dxa"/>
            <w:vAlign w:val="bottom"/>
          </w:tcPr>
          <w:p>
            <w:pPr>
              <w:jc w:val="right"/>
              <w:ind w:right="37"/>
              <w:spacing w:after="0"/>
              <w:rPr>
                <w:sz w:val="20"/>
                <w:szCs w:val="20"/>
                <w:color w:val="auto"/>
              </w:rPr>
            </w:pPr>
            <w:r>
              <w:rPr>
                <w:rFonts w:ascii="Arial" w:cs="Arial" w:eastAsia="Arial" w:hAnsi="Arial"/>
                <w:sz w:val="13"/>
                <w:szCs w:val="13"/>
                <w:color w:val="auto"/>
              </w:rPr>
              <w:t>62</w:t>
            </w:r>
          </w:p>
        </w:tc>
        <w:tc>
          <w:tcPr>
            <w:tcW w:w="12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1,124</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1,186</w:t>
            </w:r>
          </w:p>
        </w:tc>
        <w:tc>
          <w:tcPr>
            <w:tcW w:w="12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(35)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(105)</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(140)</w:t>
            </w:r>
          </w:p>
        </w:tc>
      </w:tr>
      <w:tr>
        <w:trPr>
          <w:trHeight w:val="324"/>
        </w:trPr>
        <w:tc>
          <w:tcPr>
            <w:tcW w:w="640" w:type="dxa"/>
            <w:vAlign w:val="bottom"/>
          </w:tcPr>
          <w:p>
            <w:pPr>
              <w:jc w:val="right"/>
              <w:ind w:right="37"/>
              <w:spacing w:after="0"/>
              <w:rPr>
                <w:sz w:val="20"/>
                <w:szCs w:val="20"/>
                <w:color w:val="auto"/>
              </w:rPr>
            </w:pPr>
            <w:r>
              <w:rPr>
                <w:rFonts w:ascii="Arial" w:cs="Arial" w:eastAsia="Arial" w:hAnsi="Arial"/>
                <w:sz w:val="13"/>
                <w:szCs w:val="13"/>
                <w:color w:val="auto"/>
              </w:rPr>
              <w:t>4,908</w:t>
            </w:r>
          </w:p>
        </w:tc>
        <w:tc>
          <w:tcPr>
            <w:tcW w:w="120" w:type="dxa"/>
            <w:vAlign w:val="bottom"/>
          </w:tcPr>
          <w:p>
            <w:pPr>
              <w:spacing w:after="0"/>
              <w:rPr>
                <w:sz w:val="24"/>
                <w:szCs w:val="2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277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38,893</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(277)</w:t>
            </w:r>
          </w:p>
        </w:tc>
        <w:tc>
          <w:tcPr>
            <w:tcW w:w="12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43,801</w:t>
            </w:r>
          </w:p>
        </w:tc>
        <w:tc>
          <w:tcPr>
            <w:tcW w:w="120" w:type="dxa"/>
            <w:vAlign w:val="bottom"/>
          </w:tcPr>
          <w:p>
            <w:pPr>
              <w:spacing w:after="0"/>
              <w:rPr>
                <w:sz w:val="24"/>
                <w:szCs w:val="24"/>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3,824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jc w:val="right"/>
              <w:ind w:right="57"/>
              <w:spacing w:after="0"/>
              <w:rPr>
                <w:sz w:val="20"/>
                <w:szCs w:val="20"/>
                <w:color w:val="auto"/>
              </w:rPr>
            </w:pPr>
            <w:r>
              <w:rPr>
                <w:rFonts w:ascii="Arial" w:cs="Arial" w:eastAsia="Arial" w:hAnsi="Arial"/>
                <w:sz w:val="13"/>
                <w:szCs w:val="13"/>
                <w:color w:val="auto"/>
              </w:rPr>
              <w:t>583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48,363</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(583)</w:t>
            </w:r>
          </w:p>
        </w:tc>
        <w:tc>
          <w:tcPr>
            <w:tcW w:w="120" w:type="dxa"/>
            <w:vAlign w:val="bottom"/>
          </w:tcPr>
          <w:p>
            <w:pPr>
              <w:spacing w:after="0"/>
              <w:rPr>
                <w:sz w:val="24"/>
                <w:szCs w:val="24"/>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52,187</w:t>
            </w:r>
          </w:p>
        </w:tc>
      </w:tr>
      <w:tr>
        <w:trPr>
          <w:trHeight w:val="324"/>
        </w:trPr>
        <w:tc>
          <w:tcPr>
            <w:tcW w:w="640" w:type="dxa"/>
            <w:vAlign w:val="bottom"/>
          </w:tcPr>
          <w:p>
            <w:pPr>
              <w:jc w:val="right"/>
              <w:spacing w:after="0"/>
              <w:rPr>
                <w:sz w:val="20"/>
                <w:szCs w:val="20"/>
                <w:color w:val="auto"/>
              </w:rPr>
            </w:pPr>
            <w:r>
              <w:rPr>
                <w:rFonts w:ascii="Arial" w:cs="Arial" w:eastAsia="Arial" w:hAnsi="Arial"/>
                <w:sz w:val="13"/>
                <w:szCs w:val="13"/>
                <w:color w:val="auto"/>
              </w:rPr>
              <w:t>(4,412)</w:t>
            </w:r>
          </w:p>
        </w:tc>
        <w:tc>
          <w:tcPr>
            <w:tcW w:w="12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94"/>
              </w:rPr>
              <w:t>(28,841)</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(70)</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(33,323)</w:t>
            </w:r>
          </w:p>
        </w:tc>
        <w:tc>
          <w:tcPr>
            <w:tcW w:w="120" w:type="dxa"/>
            <w:vAlign w:val="bottom"/>
          </w:tcPr>
          <w:p>
            <w:pPr>
              <w:spacing w:after="0"/>
              <w:rPr>
                <w:sz w:val="24"/>
                <w:szCs w:val="2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(1,123)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w w:val="94"/>
              </w:rPr>
              <w:t>(32,469)</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(33,592)</w:t>
            </w:r>
          </w:p>
        </w:tc>
      </w:tr>
      <w:tr>
        <w:trPr>
          <w:trHeight w:val="270"/>
        </w:trPr>
        <w:tc>
          <w:tcPr>
            <w:tcW w:w="640" w:type="dxa"/>
            <w:vAlign w:val="bottom"/>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3"/>
                <w:szCs w:val="23"/>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(190)</w:t>
            </w:r>
          </w:p>
        </w:tc>
        <w:tc>
          <w:tcPr>
            <w:tcW w:w="120" w:type="dxa"/>
            <w:vAlign w:val="bottom"/>
          </w:tcPr>
          <w:p>
            <w:pPr>
              <w:spacing w:after="0"/>
              <w:rPr>
                <w:sz w:val="23"/>
                <w:szCs w:val="23"/>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(4,492)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3"/>
                <w:szCs w:val="2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(4,492)</w:t>
            </w:r>
          </w:p>
        </w:tc>
      </w:tr>
      <w:tr>
        <w:trPr>
          <w:trHeight w:val="324"/>
        </w:trPr>
        <w:tc>
          <w:tcPr>
            <w:tcW w:w="640" w:type="dxa"/>
            <w:vAlign w:val="bottom"/>
          </w:tcPr>
          <w:p>
            <w:pPr>
              <w:jc w:val="right"/>
              <w:ind w:right="37"/>
              <w:spacing w:after="0"/>
              <w:rPr>
                <w:sz w:val="20"/>
                <w:szCs w:val="20"/>
                <w:color w:val="auto"/>
              </w:rPr>
            </w:pPr>
            <w:r>
              <w:rPr>
                <w:rFonts w:ascii="Arial" w:cs="Arial" w:eastAsia="Arial" w:hAnsi="Arial"/>
                <w:sz w:val="13"/>
                <w:szCs w:val="13"/>
                <w:color w:val="auto"/>
              </w:rPr>
              <w:t>720</w:t>
            </w:r>
          </w:p>
        </w:tc>
        <w:tc>
          <w:tcPr>
            <w:tcW w:w="120" w:type="dxa"/>
            <w:vAlign w:val="bottom"/>
          </w:tcPr>
          <w:p>
            <w:pPr>
              <w:spacing w:after="0"/>
              <w:rPr>
                <w:sz w:val="24"/>
                <w:szCs w:val="2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2,750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492</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(1,100)</w:t>
            </w:r>
          </w:p>
        </w:tc>
        <w:tc>
          <w:tcPr>
            <w:tcW w:w="12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2,862</w:t>
            </w:r>
          </w:p>
        </w:tc>
        <w:tc>
          <w:tcPr>
            <w:tcW w:w="120" w:type="dxa"/>
            <w:vAlign w:val="bottom"/>
          </w:tcPr>
          <w:p>
            <w:pPr>
              <w:spacing w:after="0"/>
              <w:rPr>
                <w:sz w:val="24"/>
                <w:szCs w:val="2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985</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985</w:t>
            </w:r>
          </w:p>
        </w:tc>
      </w:tr>
      <w:tr>
        <w:trPr>
          <w:trHeight w:val="270"/>
        </w:trPr>
        <w:tc>
          <w:tcPr>
            <w:tcW w:w="640" w:type="dxa"/>
            <w:vAlign w:val="bottom"/>
          </w:tcPr>
          <w:p>
            <w:pPr>
              <w:jc w:val="right"/>
              <w:spacing w:after="0"/>
              <w:rPr>
                <w:sz w:val="20"/>
                <w:szCs w:val="20"/>
                <w:color w:val="auto"/>
              </w:rPr>
            </w:pPr>
            <w:r>
              <w:rPr>
                <w:rFonts w:ascii="Arial" w:cs="Arial" w:eastAsia="Arial" w:hAnsi="Arial"/>
                <w:sz w:val="13"/>
                <w:szCs w:val="13"/>
                <w:color w:val="auto"/>
              </w:rPr>
              <w:t>(2,151)</w:t>
            </w: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(434)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375</w:t>
            </w: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(2,242)</w:t>
            </w:r>
          </w:p>
        </w:tc>
        <w:tc>
          <w:tcPr>
            <w:tcW w:w="120" w:type="dxa"/>
            <w:vAlign w:val="bottom"/>
          </w:tcPr>
          <w:p>
            <w:pPr>
              <w:spacing w:after="0"/>
              <w:rPr>
                <w:sz w:val="23"/>
                <w:szCs w:val="23"/>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(2,233)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(550)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550</w:t>
            </w:r>
          </w:p>
        </w:tc>
        <w:tc>
          <w:tcPr>
            <w:tcW w:w="120" w:type="dxa"/>
            <w:vAlign w:val="bottom"/>
          </w:tcPr>
          <w:p>
            <w:pPr>
              <w:spacing w:after="0"/>
              <w:rPr>
                <w:sz w:val="23"/>
                <w:szCs w:val="23"/>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(2,233)</w:t>
            </w:r>
          </w:p>
        </w:tc>
      </w:tr>
      <w:tr>
        <w:trPr>
          <w:trHeight w:val="278"/>
        </w:trPr>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(514)</w:t>
            </w:r>
          </w:p>
        </w:tc>
        <w:tc>
          <w:tcPr>
            <w:tcW w:w="120" w:type="dxa"/>
            <w:vAlign w:val="bottom"/>
          </w:tcPr>
          <w:p>
            <w:pPr>
              <w:spacing w:after="0"/>
              <w:rPr>
                <w:sz w:val="24"/>
                <w:szCs w:val="24"/>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(640)</w:t>
            </w:r>
          </w:p>
        </w:tc>
        <w:tc>
          <w:tcPr>
            <w:tcW w:w="120" w:type="dxa"/>
            <w:vAlign w:val="bottom"/>
          </w:tcPr>
          <w:p>
            <w:pPr>
              <w:spacing w:after="0"/>
              <w:rPr>
                <w:sz w:val="24"/>
                <w:szCs w:val="24"/>
                <w:color w:val="auto"/>
              </w:rPr>
            </w:pP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(161)</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(155)</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24"/>
                <w:szCs w:val="24"/>
                <w:color w:val="auto"/>
              </w:rPr>
            </w:pP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(305)</w:t>
            </w:r>
          </w:p>
        </w:tc>
      </w:tr>
      <w:tr>
        <w:trPr>
          <w:trHeight w:val="297"/>
        </w:trPr>
        <w:tc>
          <w:tcPr>
            <w:tcW w:w="640" w:type="dxa"/>
            <w:vAlign w:val="bottom"/>
          </w:tcPr>
          <w:p>
            <w:pPr>
              <w:jc w:val="right"/>
              <w:spacing w:after="0"/>
              <w:rPr>
                <w:sz w:val="20"/>
                <w:szCs w:val="20"/>
                <w:color w:val="auto"/>
              </w:rPr>
            </w:pPr>
            <w:r>
              <w:rPr>
                <w:rFonts w:ascii="Arial" w:cs="Arial" w:eastAsia="Arial" w:hAnsi="Arial"/>
                <w:sz w:val="13"/>
                <w:szCs w:val="13"/>
                <w:color w:val="auto"/>
              </w:rPr>
              <w:t>(1,487)</w:t>
            </w:r>
          </w:p>
        </w:tc>
        <w:tc>
          <w:tcPr>
            <w:tcW w:w="120" w:type="dxa"/>
            <w:vAlign w:val="bottom"/>
          </w:tcPr>
          <w:p>
            <w:pPr>
              <w:spacing w:after="0"/>
              <w:rPr>
                <w:sz w:val="24"/>
                <w:szCs w:val="2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2,997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11,088</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(1,144)</w:t>
            </w:r>
          </w:p>
        </w:tc>
        <w:tc>
          <w:tcPr>
            <w:tcW w:w="12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11,454</w:t>
            </w:r>
          </w:p>
        </w:tc>
        <w:tc>
          <w:tcPr>
            <w:tcW w:w="120" w:type="dxa"/>
            <w:vAlign w:val="bottom"/>
          </w:tcPr>
          <w:p>
            <w:pPr>
              <w:spacing w:after="0"/>
              <w:rPr>
                <w:sz w:val="24"/>
                <w:szCs w:val="2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(4,220)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jc w:val="right"/>
              <w:ind w:right="57"/>
              <w:spacing w:after="0"/>
              <w:rPr>
                <w:sz w:val="20"/>
                <w:szCs w:val="20"/>
                <w:color w:val="auto"/>
              </w:rPr>
            </w:pPr>
            <w:r>
              <w:rPr>
                <w:rFonts w:ascii="Arial" w:cs="Arial" w:eastAsia="Arial" w:hAnsi="Arial"/>
                <w:sz w:val="13"/>
                <w:szCs w:val="13"/>
                <w:color w:val="auto"/>
              </w:rPr>
              <w:t>579</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16,069</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24"/>
                <w:szCs w:val="24"/>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12,410</w:t>
            </w:r>
          </w:p>
        </w:tc>
      </w:tr>
      <w:tr>
        <w:trPr>
          <w:trHeight w:val="332"/>
        </w:trPr>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4"/>
                <w:szCs w:val="2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(126)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219</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24"/>
                <w:szCs w:val="24"/>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174</w:t>
            </w:r>
          </w:p>
        </w:tc>
      </w:tr>
      <w:tr>
        <w:trPr>
          <w:trHeight w:val="297"/>
        </w:trPr>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(1,487)</w:t>
            </w:r>
          </w:p>
        </w:tc>
        <w:tc>
          <w:tcPr>
            <w:tcW w:w="120" w:type="dxa"/>
            <w:vAlign w:val="bottom"/>
          </w:tcPr>
          <w:p>
            <w:pPr>
              <w:spacing w:after="0"/>
              <w:rPr>
                <w:sz w:val="24"/>
                <w:szCs w:val="24"/>
                <w:color w:val="auto"/>
              </w:rPr>
            </w:pPr>
          </w:p>
        </w:tc>
        <w:tc>
          <w:tcPr>
            <w:tcW w:w="5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2,997</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11,088</w:t>
            </w:r>
          </w:p>
        </w:tc>
        <w:tc>
          <w:tcPr>
            <w:tcW w:w="1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(1,144)</w:t>
            </w:r>
          </w:p>
        </w:tc>
        <w:tc>
          <w:tcPr>
            <w:tcW w:w="120" w:type="dxa"/>
            <w:vAlign w:val="bottom"/>
          </w:tcPr>
          <w:p>
            <w:pPr>
              <w:spacing w:after="0"/>
              <w:rPr>
                <w:sz w:val="24"/>
                <w:szCs w:val="24"/>
                <w:color w:val="auto"/>
              </w:rPr>
            </w:pPr>
          </w:p>
        </w:tc>
        <w:tc>
          <w:tcPr>
            <w:tcW w:w="6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11,454</w:t>
            </w:r>
          </w:p>
        </w:tc>
        <w:tc>
          <w:tcPr>
            <w:tcW w:w="120" w:type="dxa"/>
            <w:vAlign w:val="bottom"/>
          </w:tcPr>
          <w:p>
            <w:pPr>
              <w:spacing w:after="0"/>
              <w:rPr>
                <w:sz w:val="24"/>
                <w:szCs w:val="24"/>
                <w:color w:val="auto"/>
              </w:rPr>
            </w:pPr>
          </w:p>
        </w:tc>
        <w:tc>
          <w:tcPr>
            <w:tcW w:w="6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(4,346)</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579</w:t>
            </w: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16,288</w:t>
            </w:r>
          </w:p>
        </w:tc>
        <w:tc>
          <w:tcPr>
            <w:tcW w:w="1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63</w:t>
            </w:r>
          </w:p>
        </w:tc>
        <w:tc>
          <w:tcPr>
            <w:tcW w:w="120" w:type="dxa"/>
            <w:vAlign w:val="bottom"/>
          </w:tcPr>
          <w:p>
            <w:pPr>
              <w:spacing w:after="0"/>
              <w:rPr>
                <w:sz w:val="24"/>
                <w:szCs w:val="24"/>
                <w:color w:val="auto"/>
              </w:rPr>
            </w:pPr>
          </w:p>
        </w:tc>
        <w:tc>
          <w:tcPr>
            <w:tcW w:w="6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12,584</w:t>
            </w:r>
          </w:p>
        </w:tc>
      </w:tr>
      <w:tr>
        <w:trPr>
          <w:trHeight w:val="332"/>
        </w:trPr>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(231)</w:t>
            </w:r>
          </w:p>
        </w:tc>
        <w:tc>
          <w:tcPr>
            <w:tcW w:w="120" w:type="dxa"/>
            <w:vAlign w:val="bottom"/>
          </w:tcPr>
          <w:p>
            <w:pPr>
              <w:spacing w:after="0"/>
              <w:rPr>
                <w:sz w:val="24"/>
                <w:szCs w:val="24"/>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(299)</w:t>
            </w:r>
          </w:p>
        </w:tc>
        <w:tc>
          <w:tcPr>
            <w:tcW w:w="120" w:type="dxa"/>
            <w:vAlign w:val="bottom"/>
          </w:tcPr>
          <w:p>
            <w:pPr>
              <w:spacing w:after="0"/>
              <w:rPr>
                <w:sz w:val="24"/>
                <w:szCs w:val="24"/>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267</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348</w:t>
            </w:r>
          </w:p>
        </w:tc>
      </w:tr>
      <w:tr>
        <w:trPr>
          <w:trHeight w:val="297"/>
        </w:trPr>
        <w:tc>
          <w:tcPr>
            <w:tcW w:w="640" w:type="dxa"/>
            <w:vAlign w:val="bottom"/>
          </w:tcPr>
          <w:p>
            <w:pPr>
              <w:jc w:val="right"/>
              <w:ind w:right="37"/>
              <w:spacing w:after="0"/>
              <w:rPr>
                <w:sz w:val="20"/>
                <w:szCs w:val="20"/>
                <w:color w:val="auto"/>
              </w:rPr>
            </w:pPr>
            <w:r>
              <w:rPr>
                <w:rFonts w:ascii="Arial" w:cs="Arial" w:eastAsia="Arial" w:hAnsi="Arial"/>
                <w:sz w:val="13"/>
                <w:szCs w:val="13"/>
                <w:color w:val="auto"/>
              </w:rPr>
              <w:t>2,504</w:t>
            </w:r>
          </w:p>
        </w:tc>
        <w:tc>
          <w:tcPr>
            <w:tcW w:w="120" w:type="dxa"/>
            <w:vAlign w:val="bottom"/>
          </w:tcPr>
          <w:p>
            <w:pPr>
              <w:spacing w:after="0"/>
              <w:rPr>
                <w:sz w:val="24"/>
                <w:szCs w:val="2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2,268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876</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5,648</w:t>
            </w:r>
          </w:p>
        </w:tc>
        <w:tc>
          <w:tcPr>
            <w:tcW w:w="120" w:type="dxa"/>
            <w:vAlign w:val="bottom"/>
          </w:tcPr>
          <w:p>
            <w:pPr>
              <w:spacing w:after="0"/>
              <w:rPr>
                <w:sz w:val="24"/>
                <w:szCs w:val="24"/>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1,401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jc w:val="right"/>
              <w:ind w:right="57"/>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1,265</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2,688</w:t>
            </w:r>
          </w:p>
        </w:tc>
      </w:tr>
      <w:tr>
        <w:trPr>
          <w:trHeight w:val="332"/>
        </w:trPr>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11,258</w:t>
            </w:r>
          </w:p>
        </w:tc>
        <w:tc>
          <w:tcPr>
            <w:tcW w:w="120" w:type="dxa"/>
            <w:vAlign w:val="bottom"/>
          </w:tcPr>
          <w:p>
            <w:pPr>
              <w:spacing w:after="0"/>
              <w:rPr>
                <w:sz w:val="24"/>
                <w:szCs w:val="24"/>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6,567</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17,848</w:t>
            </w:r>
          </w:p>
        </w:tc>
        <w:tc>
          <w:tcPr>
            <w:tcW w:w="120" w:type="dxa"/>
            <w:vAlign w:val="bottom"/>
          </w:tcPr>
          <w:p>
            <w:pPr>
              <w:spacing w:after="0"/>
              <w:rPr>
                <w:sz w:val="24"/>
                <w:szCs w:val="24"/>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9,857</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5,302</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15,160</w:t>
            </w:r>
          </w:p>
        </w:tc>
      </w:tr>
      <w:tr>
        <w:trPr>
          <w:trHeight w:val="291"/>
        </w:trPr>
        <w:tc>
          <w:tcPr>
            <w:tcW w:w="640" w:type="dxa"/>
            <w:vAlign w:val="bottom"/>
          </w:tcPr>
          <w:p>
            <w:pPr>
              <w:jc w:val="right"/>
              <w:ind w:right="37"/>
              <w:spacing w:after="0"/>
              <w:rPr>
                <w:sz w:val="20"/>
                <w:szCs w:val="20"/>
                <w:color w:val="auto"/>
              </w:rPr>
            </w:pPr>
            <w:r>
              <w:rPr>
                <w:rFonts w:ascii="Arial" w:cs="Arial" w:eastAsia="Arial" w:hAnsi="Arial"/>
                <w:sz w:val="13"/>
                <w:szCs w:val="13"/>
                <w:color w:val="auto"/>
              </w:rPr>
              <w:t>$ 13,762</w:t>
            </w:r>
          </w:p>
        </w:tc>
        <w:tc>
          <w:tcPr>
            <w:tcW w:w="120" w:type="dxa"/>
            <w:vAlign w:val="bottom"/>
          </w:tcPr>
          <w:p>
            <w:pPr>
              <w:spacing w:after="0"/>
              <w:rPr>
                <w:sz w:val="24"/>
                <w:szCs w:val="2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w w:val="96"/>
              </w:rPr>
              <w:t>$ 2,291</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7,443</w:t>
            </w:r>
          </w:p>
        </w:tc>
        <w:tc>
          <w:tcPr>
            <w:tcW w:w="120" w:type="dxa"/>
            <w:vAlign w:val="bottom"/>
          </w:tcPr>
          <w:p>
            <w:pPr>
              <w:spacing w:after="0"/>
              <w:rPr>
                <w:sz w:val="24"/>
                <w:szCs w:val="24"/>
                <w:color w:val="auto"/>
              </w:rPr>
            </w:pPr>
          </w:p>
        </w:tc>
        <w:tc>
          <w:tcPr>
            <w:tcW w:w="420" w:type="dxa"/>
            <w:vAlign w:val="bottom"/>
          </w:tcPr>
          <w:p>
            <w:pPr>
              <w:jc w:val="right"/>
              <w:ind w:right="277"/>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$ 23,496</w:t>
            </w:r>
          </w:p>
        </w:tc>
        <w:tc>
          <w:tcPr>
            <w:tcW w:w="120" w:type="dxa"/>
            <w:vAlign w:val="bottom"/>
          </w:tcPr>
          <w:p>
            <w:pPr>
              <w:spacing w:after="0"/>
              <w:rPr>
                <w:sz w:val="24"/>
                <w:szCs w:val="24"/>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w w:val="98"/>
              </w:rPr>
              <w:t>$ 11,258</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60" w:type="dxa"/>
            <w:vAlign w:val="bottom"/>
          </w:tcPr>
          <w:p>
            <w:pPr>
              <w:jc w:val="right"/>
              <w:ind w:right="57"/>
              <w:spacing w:after="0"/>
              <w:rPr>
                <w:sz w:val="20"/>
                <w:szCs w:val="20"/>
                <w:color w:val="auto"/>
              </w:rPr>
            </w:pPr>
            <w:r>
              <w:rPr>
                <w:rFonts w:ascii="Arial" w:cs="Arial" w:eastAsia="Arial" w:hAnsi="Arial"/>
                <w:sz w:val="13"/>
                <w:szCs w:val="13"/>
                <w:color w:val="auto"/>
              </w:rPr>
              <w:t>23</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6,567</w:t>
            </w:r>
          </w:p>
        </w:tc>
        <w:tc>
          <w:tcPr>
            <w:tcW w:w="100" w:type="dxa"/>
            <w:vAlign w:val="bottom"/>
          </w:tcPr>
          <w:p>
            <w:pPr>
              <w:spacing w:after="0"/>
              <w:rPr>
                <w:sz w:val="24"/>
                <w:szCs w:val="24"/>
                <w:color w:val="auto"/>
              </w:rPr>
            </w:pPr>
          </w:p>
        </w:tc>
        <w:tc>
          <w:tcPr>
            <w:tcW w:w="50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w w:val="98"/>
              </w:rPr>
              <w:t>$ 17,848</w:t>
            </w:r>
          </w:p>
        </w:tc>
      </w:tr>
      <w:tr>
        <w:trPr>
          <w:trHeight w:val="20"/>
        </w:trPr>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270"/>
        </w:trPr>
        <w:tc>
          <w:tcPr>
            <w:tcW w:w="640" w:type="dxa"/>
            <w:vAlign w:val="bottom"/>
          </w:tcPr>
          <w:p>
            <w:pPr>
              <w:jc w:val="right"/>
              <w:ind w:right="37"/>
              <w:spacing w:after="0"/>
              <w:rPr>
                <w:sz w:val="20"/>
                <w:szCs w:val="20"/>
                <w:color w:val="auto"/>
              </w:rPr>
            </w:pPr>
            <w:r>
              <w:rPr>
                <w:rFonts w:ascii="Arial" w:cs="Arial" w:eastAsia="Arial" w:hAnsi="Arial"/>
                <w:sz w:val="13"/>
                <w:szCs w:val="13"/>
                <w:color w:val="auto"/>
              </w:rPr>
              <w:t>$ 13,762</w:t>
            </w:r>
          </w:p>
        </w:tc>
        <w:tc>
          <w:tcPr>
            <w:tcW w:w="120" w:type="dxa"/>
            <w:vAlign w:val="bottom"/>
          </w:tcPr>
          <w:p>
            <w:pPr>
              <w:spacing w:after="0"/>
              <w:rPr>
                <w:sz w:val="23"/>
                <w:szCs w:val="23"/>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w w:val="96"/>
              </w:rPr>
              <w:t>$ 2,291</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7,443</w:t>
            </w:r>
          </w:p>
        </w:tc>
        <w:tc>
          <w:tcPr>
            <w:tcW w:w="120" w:type="dxa"/>
            <w:vAlign w:val="bottom"/>
          </w:tcPr>
          <w:p>
            <w:pPr>
              <w:spacing w:after="0"/>
              <w:rPr>
                <w:sz w:val="23"/>
                <w:szCs w:val="23"/>
                <w:color w:val="auto"/>
              </w:rPr>
            </w:pPr>
          </w:p>
        </w:tc>
        <w:tc>
          <w:tcPr>
            <w:tcW w:w="420" w:type="dxa"/>
            <w:vAlign w:val="bottom"/>
          </w:tcPr>
          <w:p>
            <w:pPr>
              <w:jc w:val="right"/>
              <w:ind w:right="277"/>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$ 23,496</w:t>
            </w:r>
          </w:p>
        </w:tc>
        <w:tc>
          <w:tcPr>
            <w:tcW w:w="120" w:type="dxa"/>
            <w:vAlign w:val="bottom"/>
          </w:tcPr>
          <w:p>
            <w:pPr>
              <w:spacing w:after="0"/>
              <w:rPr>
                <w:sz w:val="23"/>
                <w:szCs w:val="23"/>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w w:val="98"/>
              </w:rPr>
              <w:t>$ 11,258</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60" w:type="dxa"/>
            <w:vAlign w:val="bottom"/>
          </w:tcPr>
          <w:p>
            <w:pPr>
              <w:jc w:val="right"/>
              <w:ind w:right="57"/>
              <w:spacing w:after="0"/>
              <w:rPr>
                <w:sz w:val="20"/>
                <w:szCs w:val="20"/>
                <w:color w:val="auto"/>
              </w:rPr>
            </w:pPr>
            <w:r>
              <w:rPr>
                <w:rFonts w:ascii="Arial" w:cs="Arial" w:eastAsia="Arial" w:hAnsi="Arial"/>
                <w:sz w:val="13"/>
                <w:szCs w:val="13"/>
                <w:color w:val="auto"/>
              </w:rPr>
              <w:t>23</w:t>
            </w:r>
          </w:p>
        </w:tc>
        <w:tc>
          <w:tcPr>
            <w:tcW w:w="12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6,567</w:t>
            </w:r>
          </w:p>
        </w:tc>
        <w:tc>
          <w:tcPr>
            <w:tcW w:w="100" w:type="dxa"/>
            <w:vAlign w:val="bottom"/>
          </w:tcPr>
          <w:p>
            <w:pPr>
              <w:spacing w:after="0"/>
              <w:rPr>
                <w:sz w:val="23"/>
                <w:szCs w:val="23"/>
                <w:color w:val="auto"/>
              </w:rPr>
            </w:pPr>
          </w:p>
        </w:tc>
        <w:tc>
          <w:tcPr>
            <w:tcW w:w="50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w w:val="98"/>
              </w:rPr>
              <w:t>$ 17,848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-1852295</wp:posOffset>
            </wp:positionH>
            <wp:positionV relativeFrom="paragraph">
              <wp:posOffset>-2769235</wp:posOffset>
            </wp:positionV>
            <wp:extent cx="7237730"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7730" cy="205740"/>
                    </a:xfrm>
                    <a:prstGeom prst="rect">
                      <a:avLst/>
                    </a:prstGeom>
                    <a:noFill/>
                  </pic:spPr>
                </pic:pic>
              </a:graphicData>
            </a:graphic>
          </wp:anchor>
        </w:drawing>
        <w:drawing>
          <wp:anchor simplePos="0" relativeHeight="251657728" behindDoc="1" locked="0" layoutInCell="0" allowOverlap="1">
            <wp:simplePos x="0" y="0"/>
            <wp:positionH relativeFrom="column">
              <wp:posOffset>-1852295</wp:posOffset>
            </wp:positionH>
            <wp:positionV relativeFrom="paragraph">
              <wp:posOffset>-2357120</wp:posOffset>
            </wp:positionV>
            <wp:extent cx="723773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-1852295</wp:posOffset>
            </wp:positionH>
            <wp:positionV relativeFrom="paragraph">
              <wp:posOffset>-1979930</wp:posOffset>
            </wp:positionV>
            <wp:extent cx="723773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-1852295</wp:posOffset>
            </wp:positionH>
            <wp:positionV relativeFrom="paragraph">
              <wp:posOffset>-1637030</wp:posOffset>
            </wp:positionV>
            <wp:extent cx="7237730" cy="205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7730" cy="205740"/>
                    </a:xfrm>
                    <a:prstGeom prst="rect">
                      <a:avLst/>
                    </a:prstGeom>
                    <a:noFill/>
                  </pic:spPr>
                </pic:pic>
              </a:graphicData>
            </a:graphic>
          </wp:anchor>
        </w:drawing>
        <w:drawing>
          <wp:anchor simplePos="0" relativeHeight="251657728" behindDoc="1" locked="0" layoutInCell="0" allowOverlap="1">
            <wp:simplePos x="0" y="0"/>
            <wp:positionH relativeFrom="column">
              <wp:posOffset>-1852295</wp:posOffset>
            </wp:positionH>
            <wp:positionV relativeFrom="paragraph">
              <wp:posOffset>-1225550</wp:posOffset>
            </wp:positionV>
            <wp:extent cx="7237730" cy="205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7730" cy="205740"/>
                    </a:xfrm>
                    <a:prstGeom prst="rect">
                      <a:avLst/>
                    </a:prstGeom>
                    <a:noFill/>
                  </pic:spPr>
                </pic:pic>
              </a:graphicData>
            </a:graphic>
          </wp:anchor>
        </w:drawing>
        <w:drawing>
          <wp:anchor simplePos="0" relativeHeight="251657728" behindDoc="1" locked="0" layoutInCell="0" allowOverlap="1">
            <wp:simplePos x="0" y="0"/>
            <wp:positionH relativeFrom="column">
              <wp:posOffset>-1852295</wp:posOffset>
            </wp:positionH>
            <wp:positionV relativeFrom="paragraph">
              <wp:posOffset>-813435</wp:posOffset>
            </wp:positionV>
            <wp:extent cx="7237730" cy="205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7730" cy="205740"/>
                    </a:xfrm>
                    <a:prstGeom prst="rect">
                      <a:avLst/>
                    </a:prstGeom>
                    <a:noFill/>
                  </pic:spPr>
                </pic:pic>
              </a:graphicData>
            </a:graphic>
          </wp:anchor>
        </w:drawing>
        <w:drawing>
          <wp:anchor simplePos="0" relativeHeight="251657728" behindDoc="1" locked="0" layoutInCell="0" allowOverlap="1">
            <wp:simplePos x="0" y="0"/>
            <wp:positionH relativeFrom="column">
              <wp:posOffset>-1852295</wp:posOffset>
            </wp:positionH>
            <wp:positionV relativeFrom="paragraph">
              <wp:posOffset>-401955</wp:posOffset>
            </wp:positionV>
            <wp:extent cx="7237730" cy="205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7730" cy="205740"/>
                    </a:xfrm>
                    <a:prstGeom prst="rect">
                      <a:avLst/>
                    </a:prstGeom>
                    <a:noFill/>
                  </pic:spPr>
                </pic:pic>
              </a:graphicData>
            </a:graphic>
          </wp:anchor>
        </w:drawing>
      </w:r>
    </w:p>
    <w:p>
      <w:pPr>
        <w:spacing w:after="0" w:line="138" w:lineRule="exact"/>
        <w:rPr>
          <w:sz w:val="20"/>
          <w:szCs w:val="20"/>
          <w:color w:val="auto"/>
        </w:rPr>
      </w:pPr>
    </w:p>
    <w:p>
      <w:pPr>
        <w:sectPr>
          <w:pgSz w:w="11900" w:h="16838" w:orient="portrait"/>
          <w:cols w:equalWidth="0" w:num="2">
            <w:col w:w="2820" w:space="120"/>
            <w:col w:w="8480"/>
          </w:cols>
          <w:pgMar w:left="240" w:top="335" w:right="239" w:bottom="0" w:gutter="0" w:footer="0" w:header="0"/>
          <w:type w:val="continuous"/>
        </w:sectPr>
      </w:pPr>
    </w:p>
    <w:p>
      <w:pPr>
        <w:ind w:left="340" w:hanging="332"/>
        <w:spacing w:after="0" w:line="253" w:lineRule="auto"/>
        <w:tabs>
          <w:tab w:leader="none" w:pos="340" w:val="left"/>
        </w:tabs>
        <w:numPr>
          <w:ilvl w:val="0"/>
          <w:numId w:val="14"/>
        </w:numPr>
        <w:rPr>
          <w:rFonts w:ascii="Arial" w:cs="Arial" w:eastAsia="Arial" w:hAnsi="Arial"/>
          <w:sz w:val="10"/>
          <w:szCs w:val="10"/>
          <w:color w:val="auto"/>
        </w:rPr>
      </w:pPr>
      <w:r>
        <w:rPr>
          <w:rFonts w:ascii="Arial" w:cs="Arial" w:eastAsia="Arial" w:hAnsi="Arial"/>
          <w:sz w:val="10"/>
          <w:szCs w:val="10"/>
          <w:color w:val="auto"/>
        </w:rPr>
        <w:t>Reclassifications include $2.6 billion and $2.1 billion in the years ended December 31, 2018 and 2017 for purchases/collections of wholesale finance receivables resulting from vehicles sold by GM to dealers that have arranged their inventory floor plan financing through GM Financial.</w:t>
      </w:r>
    </w:p>
    <w:p>
      <w:pPr>
        <w:ind w:left="340" w:hanging="332"/>
        <w:spacing w:after="0" w:line="253" w:lineRule="auto"/>
        <w:tabs>
          <w:tab w:leader="none" w:pos="340" w:val="left"/>
        </w:tabs>
        <w:numPr>
          <w:ilvl w:val="0"/>
          <w:numId w:val="14"/>
        </w:numPr>
        <w:rPr>
          <w:rFonts w:ascii="Arial" w:cs="Arial" w:eastAsia="Arial" w:hAnsi="Arial"/>
          <w:sz w:val="10"/>
          <w:szCs w:val="10"/>
          <w:color w:val="auto"/>
        </w:rPr>
      </w:pPr>
      <w:r>
        <w:rPr>
          <w:rFonts w:ascii="Arial" w:cs="Arial" w:eastAsia="Arial" w:hAnsi="Arial"/>
          <w:sz w:val="10"/>
          <w:szCs w:val="10"/>
          <w:color w:val="auto"/>
        </w:rPr>
        <w:t>Eliminations include $611 million and $683 million in Purchases of finance receivables, net in the years ended December 31, 2018 and 2017, and $309 million and $276 million in Principal collections and recoveries on finance receivables in the years ended December 31, 2018 and 2017 primarily related to the re-timing of cash receipts and payments between Automotive and GM Financial.</w:t>
      </w:r>
    </w:p>
    <w:p>
      <w:pPr>
        <w:ind w:left="340" w:hanging="332"/>
        <w:spacing w:after="0"/>
        <w:tabs>
          <w:tab w:leader="none" w:pos="340" w:val="left"/>
        </w:tabs>
        <w:numPr>
          <w:ilvl w:val="0"/>
          <w:numId w:val="14"/>
        </w:numPr>
        <w:rPr>
          <w:rFonts w:ascii="Arial" w:cs="Arial" w:eastAsia="Arial" w:hAnsi="Arial"/>
          <w:sz w:val="10"/>
          <w:szCs w:val="10"/>
          <w:color w:val="auto"/>
        </w:rPr>
      </w:pPr>
      <w:r>
        <w:rPr>
          <w:rFonts w:ascii="Arial" w:cs="Arial" w:eastAsia="Arial" w:hAnsi="Arial"/>
          <w:sz w:val="10"/>
          <w:szCs w:val="10"/>
          <w:color w:val="auto"/>
        </w:rPr>
        <w:t>Reclassifications include $90 million in the year ended December 31, 2018 for GM Cruise's investment in GM common stock.</w:t>
      </w:r>
    </w:p>
    <w:p>
      <w:pPr>
        <w:spacing w:after="0" w:line="6" w:lineRule="exact"/>
        <w:rPr>
          <w:rFonts w:ascii="Arial" w:cs="Arial" w:eastAsia="Arial" w:hAnsi="Arial"/>
          <w:sz w:val="10"/>
          <w:szCs w:val="10"/>
          <w:color w:val="auto"/>
        </w:rPr>
      </w:pPr>
    </w:p>
    <w:p>
      <w:pPr>
        <w:ind w:left="340" w:hanging="332"/>
        <w:spacing w:after="0" w:line="253" w:lineRule="auto"/>
        <w:tabs>
          <w:tab w:leader="none" w:pos="340" w:val="left"/>
        </w:tabs>
        <w:numPr>
          <w:ilvl w:val="0"/>
          <w:numId w:val="14"/>
        </w:numPr>
        <w:rPr>
          <w:rFonts w:ascii="Arial" w:cs="Arial" w:eastAsia="Arial" w:hAnsi="Arial"/>
          <w:sz w:val="10"/>
          <w:szCs w:val="10"/>
          <w:color w:val="auto"/>
        </w:rPr>
      </w:pPr>
      <w:r>
        <w:rPr>
          <w:rFonts w:ascii="Arial" w:cs="Arial" w:eastAsia="Arial" w:hAnsi="Arial"/>
          <w:sz w:val="10"/>
          <w:szCs w:val="10"/>
          <w:color w:val="auto"/>
        </w:rPr>
        <w:t>Eliminations include $1.4 billion and $583 million in the years ended December 31, 2018 and 2017 for Automotive cash injections in GM Cruise, inclusive of the $1.1 billion investment in GM Cruise Preferred Stock in the year ended December 31, 2018.</w:t>
      </w:r>
    </w:p>
    <w:p>
      <w:pPr>
        <w:ind w:left="340" w:hanging="332"/>
        <w:spacing w:after="0"/>
        <w:tabs>
          <w:tab w:leader="none" w:pos="340" w:val="left"/>
        </w:tabs>
        <w:numPr>
          <w:ilvl w:val="0"/>
          <w:numId w:val="14"/>
        </w:numPr>
        <w:rPr>
          <w:rFonts w:ascii="Arial" w:cs="Arial" w:eastAsia="Arial" w:hAnsi="Arial"/>
          <w:sz w:val="10"/>
          <w:szCs w:val="10"/>
          <w:color w:val="auto"/>
        </w:rPr>
      </w:pPr>
      <w:r>
        <w:rPr>
          <w:rFonts w:ascii="Arial" w:cs="Arial" w:eastAsia="Arial" w:hAnsi="Arial"/>
          <w:sz w:val="10"/>
          <w:szCs w:val="10"/>
          <w:color w:val="auto"/>
        </w:rPr>
        <w:t>Eliminations include dividends issued by GM Financial to Automotive.</w:t>
      </w:r>
    </w:p>
    <w:p>
      <w:pPr>
        <w:sectPr>
          <w:pgSz w:w="11900" w:h="16838" w:orient="portrait"/>
          <w:cols w:equalWidth="0" w:num="1">
            <w:col w:w="11420"/>
          </w:cols>
          <w:pgMar w:left="240" w:top="335" w:right="239" w:bottom="0" w:gutter="0" w:footer="0" w:header="0"/>
          <w:type w:val="continuous"/>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335" w:right="239" w:bottom="0" w:gutter="0" w:footer="0" w:header="0"/>
          <w:type w:val="continuous"/>
        </w:sectPr>
      </w:pPr>
    </w:p>
    <w:bookmarkStart w:id="20" w:name="page21"/>
    <w:bookmarkEnd w:id="2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lowerLetter"/>
      <w:start w:val="1"/>
    </w:lvl>
  </w:abstractNum>
  <w:abstractNum w:abstractNumId="2">
    <w:nsid w:val="515F007C"/>
    <w:multiLevelType w:val="hybridMultilevel"/>
    <w:lvl w:ilvl="0">
      <w:lvlJc w:val="left"/>
      <w:lvlText w:val="(%1)"/>
      <w:numFmt w:val="lowerLetter"/>
      <w:start w:val="1"/>
    </w:lvl>
  </w:abstractNum>
  <w:abstractNum w:abstractNumId="3">
    <w:nsid w:val="5BD062C2"/>
    <w:multiLevelType w:val="hybridMultilevel"/>
    <w:lvl w:ilvl="0">
      <w:lvlJc w:val="left"/>
      <w:lvlText w:val="(%1)"/>
      <w:numFmt w:val="lowerLetter"/>
      <w:start w:val="1"/>
    </w:lvl>
  </w:abstractNum>
  <w:abstractNum w:abstractNumId="4">
    <w:nsid w:val="12200854"/>
    <w:multiLevelType w:val="hybridMultilevel"/>
    <w:lvl w:ilvl="0">
      <w:lvlJc w:val="left"/>
      <w:lvlText w:val="(%1)"/>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2019-12-28T16:43:29Z</dcterms:created>
  <dcterms:modified xsi:type="dcterms:W3CDTF">2019-12-28T16:43:29Z</dcterms:modified>
</cp:coreProperties>
</file>