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13d-102)</w:t>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(Initial Filing)*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AMERICAN AXLE &amp; MANUFACTURING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024061103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219" w:right="259" w:bottom="1440" w:gutter="0" w:footer="0" w:header="0"/>
        </w:sectPr>
      </w:pPr>
    </w:p>
    <w:bookmarkStart w:id="1" w:name="page2"/>
    <w:bookmarkEnd w:id="1"/>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 OF ABOVE PERSON:</w:t>
      </w:r>
    </w:p>
    <w:p>
      <w:pPr>
        <w:spacing w:after="0" w:line="227"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General Motors Company</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27-03832222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Not Applicable</w:t>
      </w:r>
    </w:p>
    <w:p>
      <w:pPr>
        <w:spacing w:after="0" w:line="58" w:lineRule="exact"/>
        <w:rPr>
          <w:sz w:val="20"/>
          <w:szCs w:val="20"/>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2120" w:hanging="309"/>
        <w:spacing w:after="0"/>
        <w:tabs>
          <w:tab w:leader="none" w:pos="2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284"/>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4"/>
              </w:rPr>
              <w:t>NUMBER OF</w:t>
            </w:r>
          </w:p>
        </w:tc>
        <w:tc>
          <w:tcPr>
            <w:tcW w:w="42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ind w:left="34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8"/>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89"/>
              </w:rPr>
              <w:t>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32"/>
              <w:spacing w:after="0"/>
              <w:rPr>
                <w:sz w:val="20"/>
                <w:szCs w:val="20"/>
                <w:color w:val="auto"/>
              </w:rPr>
            </w:pPr>
            <w:r>
              <w:rPr>
                <w:rFonts w:ascii="Arial" w:cs="Arial" w:eastAsia="Arial" w:hAnsi="Arial"/>
                <w:sz w:val="18"/>
                <w:szCs w:val="18"/>
                <w:color w:val="auto"/>
                <w:w w:val="97"/>
              </w:rPr>
              <w:t>BENEFICIALLY</w:t>
            </w:r>
          </w:p>
        </w:tc>
        <w:tc>
          <w:tcPr>
            <w:tcW w:w="420" w:type="dxa"/>
            <w:vAlign w:val="bottom"/>
          </w:tcPr>
          <w:p>
            <w:pPr>
              <w:spacing w:after="0"/>
              <w:rPr>
                <w:sz w:val="18"/>
                <w:szCs w:val="18"/>
                <w:color w:val="auto"/>
              </w:rPr>
            </w:pPr>
          </w:p>
        </w:tc>
        <w:tc>
          <w:tcPr>
            <w:tcW w:w="9380" w:type="dxa"/>
            <w:vAlign w:val="bottom"/>
            <w:vMerge w:val="restart"/>
          </w:tcPr>
          <w:p>
            <w:pPr>
              <w:ind w:left="340"/>
              <w:spacing w:after="0"/>
              <w:rPr>
                <w:sz w:val="20"/>
                <w:szCs w:val="20"/>
                <w:color w:val="auto"/>
              </w:rPr>
            </w:pPr>
            <w:r>
              <w:rPr>
                <w:rFonts w:ascii="Arial" w:cs="Arial" w:eastAsia="Arial" w:hAnsi="Arial"/>
                <w:sz w:val="22"/>
                <w:szCs w:val="22"/>
                <w:b w:val="1"/>
                <w:bCs w:val="1"/>
                <w:color w:val="auto"/>
              </w:rPr>
              <w:t>4,093,729</w:t>
            </w:r>
          </w:p>
        </w:tc>
        <w:tc>
          <w:tcPr>
            <w:tcW w:w="0" w:type="dxa"/>
            <w:vAlign w:val="bottom"/>
          </w:tcPr>
          <w:p>
            <w:pPr>
              <w:spacing w:after="0"/>
              <w:rPr>
                <w:sz w:val="1"/>
                <w:szCs w:val="1"/>
                <w:color w:val="auto"/>
              </w:rPr>
            </w:pPr>
          </w:p>
        </w:tc>
      </w:tr>
      <w:tr>
        <w:trPr>
          <w:trHeight w:val="222"/>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5"/>
              </w:rPr>
              <w:t>OWNED BY</w:t>
            </w:r>
          </w:p>
        </w:tc>
        <w:tc>
          <w:tcPr>
            <w:tcW w:w="420" w:type="dxa"/>
            <w:vAlign w:val="bottom"/>
            <w:tcBorders>
              <w:bottom w:val="single" w:sz="8" w:color="auto"/>
            </w:tcBorders>
          </w:tcPr>
          <w:p>
            <w:pPr>
              <w:spacing w:after="0"/>
              <w:rPr>
                <w:sz w:val="19"/>
                <w:szCs w:val="19"/>
                <w:color w:val="auto"/>
              </w:rPr>
            </w:pPr>
          </w:p>
        </w:tc>
        <w:tc>
          <w:tcPr>
            <w:tcW w:w="9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6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938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1"/>
              </w:rPr>
              <w:t>REPORTING</w:t>
            </w:r>
          </w:p>
        </w:tc>
        <w:tc>
          <w:tcPr>
            <w:tcW w:w="420" w:type="dxa"/>
            <w:vAlign w:val="bottom"/>
          </w:tcPr>
          <w:p>
            <w:pPr>
              <w:spacing w:after="0"/>
              <w:rPr>
                <w:sz w:val="18"/>
                <w:szCs w:val="18"/>
                <w:color w:val="auto"/>
              </w:rPr>
            </w:pPr>
          </w:p>
        </w:tc>
        <w:tc>
          <w:tcPr>
            <w:tcW w:w="9380" w:type="dxa"/>
            <w:vAlign w:val="bottom"/>
            <w:vMerge w:val="restart"/>
          </w:tcPr>
          <w:p>
            <w:pPr>
              <w:ind w:left="340"/>
              <w:spacing w:after="0"/>
              <w:rPr>
                <w:sz w:val="20"/>
                <w:szCs w:val="20"/>
                <w:color w:val="auto"/>
              </w:rPr>
            </w:pPr>
            <w:r>
              <w:rPr>
                <w:rFonts w:ascii="Arial" w:cs="Arial" w:eastAsia="Arial" w:hAnsi="Arial"/>
                <w:sz w:val="22"/>
                <w:szCs w:val="22"/>
                <w:b w:val="1"/>
                <w:bCs w:val="1"/>
                <w:color w:val="auto"/>
              </w:rPr>
              <w:t>4,093,729</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86"/>
              </w:rPr>
              <w:t>PERSON</w:t>
            </w:r>
          </w:p>
        </w:tc>
        <w:tc>
          <w:tcPr>
            <w:tcW w:w="42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460" w:type="dxa"/>
            <w:vAlign w:val="bottom"/>
            <w:vMerge w:val="restart"/>
          </w:tcPr>
          <w:p>
            <w:pPr>
              <w:jc w:val="center"/>
              <w:ind w:right="152"/>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60" w:type="dxa"/>
            <w:vAlign w:val="bottom"/>
            <w:vMerge w:val="continue"/>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74"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4,093,729</w:t>
      </w:r>
    </w:p>
    <w:p>
      <w:pPr>
        <w:spacing w:after="0" w:line="28"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10.</w:t>
        <w:tab/>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74"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74"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9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American Axle &amp; Manufacturing Holdings, Inc.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One Dauch Drive</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Detroit, Michigan 48211-1198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General Motors Company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(b) Address of Principal Business Office or, if None, Residence:</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300 Renaissance Center</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Detroit, Michigan 48265-3000</w:t>
      </w:r>
    </w:p>
    <w:p>
      <w:pPr>
        <w:spacing w:after="0" w:line="1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(c) Citizenship:</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Delaware corporation</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(d) Title of Class of Securities:</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Common Stock, par value $0.01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Number:</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024061103</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(a) Amount beneficially owned:</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4,093,729.</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(b) Percent of class:</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6.9%.</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 Number of shares as to which the person has:</w:t>
      </w:r>
    </w:p>
    <w:p>
      <w:pPr>
        <w:spacing w:after="0" w:line="117" w:lineRule="exact"/>
        <w:rPr>
          <w:sz w:val="20"/>
          <w:szCs w:val="20"/>
          <w:color w:val="auto"/>
        </w:rPr>
      </w:pPr>
    </w:p>
    <w:p>
      <w:pPr>
        <w:ind w:left="1380" w:right="5900" w:hanging="359"/>
        <w:spacing w:after="0" w:line="375" w:lineRule="auto"/>
        <w:tabs>
          <w:tab w:leader="none" w:pos="1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0.</w:t>
      </w:r>
    </w:p>
    <w:p>
      <w:pPr>
        <w:spacing w:after="0" w:line="1" w:lineRule="exact"/>
        <w:rPr>
          <w:rFonts w:ascii="Arial" w:cs="Arial" w:eastAsia="Arial" w:hAnsi="Arial"/>
          <w:sz w:val="18"/>
          <w:szCs w:val="18"/>
          <w:b w:val="1"/>
          <w:bCs w:val="1"/>
          <w:color w:val="auto"/>
        </w:rPr>
      </w:pPr>
    </w:p>
    <w:p>
      <w:pPr>
        <w:ind w:left="1380" w:right="5680" w:hanging="359"/>
        <w:spacing w:after="0" w:line="375" w:lineRule="auto"/>
        <w:tabs>
          <w:tab w:leader="none" w:pos="1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4,093,729.</w:t>
      </w:r>
    </w:p>
    <w:p>
      <w:pPr>
        <w:spacing w:after="0" w:line="1" w:lineRule="exact"/>
        <w:rPr>
          <w:rFonts w:ascii="Arial" w:cs="Arial" w:eastAsia="Arial" w:hAnsi="Arial"/>
          <w:sz w:val="18"/>
          <w:szCs w:val="18"/>
          <w:b w:val="1"/>
          <w:bCs w:val="1"/>
          <w:color w:val="auto"/>
        </w:rPr>
      </w:pPr>
    </w:p>
    <w:p>
      <w:pPr>
        <w:ind w:left="1380" w:right="4980" w:hanging="359"/>
        <w:spacing w:after="0" w:line="375" w:lineRule="auto"/>
        <w:tabs>
          <w:tab w:leader="none" w:pos="1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4,093,729.</w:t>
      </w:r>
    </w:p>
    <w:p>
      <w:pPr>
        <w:spacing w:after="0" w:line="1" w:lineRule="exact"/>
        <w:rPr>
          <w:rFonts w:ascii="Arial" w:cs="Arial" w:eastAsia="Arial" w:hAnsi="Arial"/>
          <w:sz w:val="18"/>
          <w:szCs w:val="18"/>
          <w:b w:val="1"/>
          <w:bCs w:val="1"/>
          <w:color w:val="auto"/>
        </w:rPr>
      </w:pPr>
    </w:p>
    <w:p>
      <w:pPr>
        <w:ind w:left="1380" w:hanging="359"/>
        <w:spacing w:after="0"/>
        <w:tabs>
          <w:tab w:leader="none" w:pos="1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1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720" w:right="140"/>
        <w:spacing w:after="0" w:line="255" w:lineRule="auto"/>
        <w:rPr>
          <w:sz w:val="20"/>
          <w:szCs w:val="20"/>
          <w:color w:val="auto"/>
        </w:rPr>
      </w:pPr>
      <w:r>
        <w:rPr>
          <w:rFonts w:ascii="Arial" w:cs="Arial" w:eastAsia="Arial" w:hAnsi="Arial"/>
          <w:sz w:val="18"/>
          <w:szCs w:val="18"/>
          <w:color w:val="auto"/>
        </w:rPr>
        <w:t>The Reporting Person acquired Warrants for the purchase of 4,093,729 shares of Common Stock of the Issuer (the “</w:t>
      </w:r>
      <w:r>
        <w:rPr>
          <w:rFonts w:ascii="Arial" w:cs="Arial" w:eastAsia="Arial" w:hAnsi="Arial"/>
          <w:sz w:val="18"/>
          <w:szCs w:val="18"/>
          <w:u w:val="single" w:color="auto"/>
          <w:color w:val="auto"/>
        </w:rPr>
        <w:t>Warrants</w:t>
      </w:r>
      <w:r>
        <w:rPr>
          <w:rFonts w:ascii="Arial" w:cs="Arial" w:eastAsia="Arial" w:hAnsi="Arial"/>
          <w:sz w:val="18"/>
          <w:szCs w:val="18"/>
          <w:color w:val="auto"/>
        </w:rPr>
        <w:t>”) on September 16, 2009. The Warrants are exercisable at any time prior to September 16, 2014, 5:00 p.m. New York City time, at an exercise price of $2.76 per share. The exercise price and the number of shares issuable upon exercise of the warrants are subject to adjustment pursuant to that certain Warrant Agreement, dated as of September 16, 2009, by and between the Issuer and the Reporting Person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83" w:lineRule="exact"/>
        <w:rPr>
          <w:sz w:val="20"/>
          <w:szCs w:val="20"/>
          <w:color w:val="auto"/>
        </w:rPr>
      </w:pPr>
    </w:p>
    <w:p>
      <w:pPr>
        <w:ind w:left="720"/>
        <w:spacing w:after="0" w:line="289" w:lineRule="auto"/>
        <w:rPr>
          <w:sz w:val="20"/>
          <w:szCs w:val="20"/>
          <w:color w:val="auto"/>
        </w:rPr>
      </w:pPr>
      <w:r>
        <w:rPr>
          <w:rFonts w:ascii="Arial" w:cs="Arial" w:eastAsia="Arial" w:hAnsi="Arial"/>
          <w:sz w:val="16"/>
          <w:szCs w:val="16"/>
          <w:color w:val="auto"/>
        </w:rPr>
        <w:t>Pursuant to the Warrant Agreement, the Reporting Person has agreed that, except for a limited period after any exercise of the Warrants before the 30th day preceding the Warrant expiration date, it will vote any shares of Common Stock acquired upon exercise of the Warrants (the “</w:t>
      </w:r>
      <w:r>
        <w:rPr>
          <w:rFonts w:ascii="Arial" w:cs="Arial" w:eastAsia="Arial" w:hAnsi="Arial"/>
          <w:sz w:val="16"/>
          <w:szCs w:val="16"/>
          <w:u w:val="single" w:color="auto"/>
          <w:color w:val="auto"/>
        </w:rPr>
        <w:t>Warrant Shares</w:t>
      </w:r>
      <w:r>
        <w:rPr>
          <w:rFonts w:ascii="Arial" w:cs="Arial" w:eastAsia="Arial" w:hAnsi="Arial"/>
          <w:sz w:val="16"/>
          <w:szCs w:val="16"/>
          <w:color w:val="auto"/>
        </w:rPr>
        <w:t>”) proportionally with all other stockholders of the Issuer. In addition, pursuant to the terms of the Warrant Agreement, while the Reporting Person (or any of its affiliates) holds any Warrants or Warrant Shares, the Reporting Person has agreed that, among other things, neither it nor its affiliates will, without the prior written consent of the Issuer, (a) acquire, directly or indirectly, any securities if, following such acquisition, the Reporting Person and its affiliates would be the beneficial owners of more than 20% of the then outstanding Common Stock, or (b) seek, propose or take other action, whether by itself or with others, for the purpose of, directly or indirectly, influencing or controlling the management or policies of the Issuer.</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300"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3" w:lineRule="exact"/>
        <w:rPr>
          <w:sz w:val="20"/>
          <w:szCs w:val="20"/>
          <w:color w:val="auto"/>
        </w:rPr>
      </w:pPr>
    </w:p>
    <w:p>
      <w:pPr>
        <w:ind w:left="720" w:right="260" w:firstLine="432"/>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240" w:top="274" w:right="1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7480" w:type="dxa"/>
            <w:vAlign w:val="bottom"/>
            <w:gridSpan w:val="2"/>
          </w:tcPr>
          <w:p>
            <w:pPr>
              <w:ind w:left="2120"/>
              <w:spacing w:after="0"/>
              <w:rPr>
                <w:sz w:val="20"/>
                <w:szCs w:val="20"/>
                <w:color w:val="auto"/>
              </w:rPr>
            </w:pPr>
            <w:r>
              <w:rPr>
                <w:rFonts w:ascii="Arial" w:cs="Arial" w:eastAsia="Arial" w:hAnsi="Arial"/>
                <w:sz w:val="18"/>
                <w:szCs w:val="18"/>
                <w:b w:val="1"/>
                <w:bCs w:val="1"/>
                <w:color w:val="auto"/>
              </w:rPr>
              <w:t>General Motors Company</w:t>
            </w:r>
          </w:p>
        </w:tc>
      </w:tr>
      <w:tr>
        <w:trPr>
          <w:trHeight w:val="434"/>
        </w:trPr>
        <w:tc>
          <w:tcPr>
            <w:tcW w:w="3940" w:type="dxa"/>
            <w:vAlign w:val="bottom"/>
          </w:tcPr>
          <w:p>
            <w:pPr>
              <w:spacing w:after="0"/>
              <w:rPr>
                <w:sz w:val="24"/>
                <w:szCs w:val="24"/>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S. Cyprus</w:t>
            </w:r>
          </w:p>
        </w:tc>
      </w:tr>
      <w:tr>
        <w:trPr>
          <w:trHeight w:val="215"/>
        </w:trPr>
        <w:tc>
          <w:tcPr>
            <w:tcW w:w="3940" w:type="dxa"/>
            <w:vAlign w:val="bottom"/>
          </w:tcPr>
          <w:p>
            <w:pPr>
              <w:spacing w:after="0"/>
              <w:rPr>
                <w:sz w:val="18"/>
                <w:szCs w:val="18"/>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Nick S. Cyprus</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Date: September 25, 2009</w:t>
            </w:r>
          </w:p>
        </w:tc>
        <w:tc>
          <w:tcPr>
            <w:tcW w:w="2700" w:type="dxa"/>
            <w:vAlign w:val="bottom"/>
          </w:tcPr>
          <w:p>
            <w:pPr>
              <w:ind w:left="21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 President, Controller and Chief Accounting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DETROIT.3816979.3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3"/>
    </w:lvl>
    <w:lvl w:ilvl="1">
      <w:lvlJc w:val="left"/>
      <w:lvlText w:val="%2"/>
      <w:numFmt w:val="lowerLetter"/>
      <w:start w:val="1"/>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2019-12-20T18:46:38Z</dcterms:created>
  <dcterms:modified xsi:type="dcterms:W3CDTF">2019-12-20T18:46:38Z</dcterms:modified>
</cp:coreProperties>
</file>